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8"/>
          <w:tab w:val="left" w:pos="2655" w:leader="none"/>
        </w:tabs>
        <w:rPr>
          <w:rFonts w:ascii="Monotype Corsiva" w:hAnsi="Monotype Corsiva"/>
          <w:b/>
          <w:b/>
          <w:color w:val="7A1A10"/>
          <w:sz w:val="44"/>
        </w:rPr>
      </w:pPr>
      <w:r>
        <w:rPr>
          <w:rFonts w:ascii="Monotype Corsiva" w:hAnsi="Monotype Corsiva"/>
          <w:b/>
          <w:color w:val="7A1A10"/>
          <w:sz w:val="44"/>
        </w:rPr>
        <w:tab/>
        <w:t xml:space="preserve">        1997-2023</w:t>
      </w:r>
    </w:p>
    <w:p>
      <w:pPr>
        <w:pStyle w:val="Normal"/>
        <w:ind w:left="709" w:hanging="0"/>
        <w:jc w:val="center"/>
        <w:rPr>
          <w:rFonts w:ascii="Comic Sans MS" w:hAnsi="Comic Sans MS"/>
          <w:b/>
          <w:b/>
        </w:rPr>
      </w:pPr>
      <w:r>
        <w:rPr>
          <w:rFonts w:ascii="Monotype Corsiva" w:hAnsi="Monotype Corsiva"/>
          <w:b/>
          <w:color w:val="000000"/>
          <w:sz w:val="44"/>
        </w:rPr>
        <w:t>ÉTA</w:t>
      </w:r>
      <w:r>
        <w:rPr>
          <w:rFonts w:ascii="Monotype Corsiva" w:hAnsi="Monotype Corsiva"/>
          <w:b/>
          <w:sz w:val="44"/>
        </w:rPr>
        <w:t xml:space="preserve"> ORSZÁGOS SZÖVETSÉG</w:t>
      </w:r>
    </w:p>
    <w:p>
      <w:pPr>
        <w:pStyle w:val="Normal"/>
        <w:rPr>
          <w:sz w:val="16"/>
          <w:szCs w:val="16"/>
        </w:rPr>
      </w:pPr>
      <w:r>
        <w:rPr>
          <w:sz w:val="16"/>
          <w:szCs w:val="16"/>
        </w:rPr>
        <mc:AlternateContent>
          <mc:Choice Requires="wps">
            <w:drawing>
              <wp:anchor behindDoc="0" distT="0" distB="18415" distL="114300" distR="131445" simplePos="0" locked="0" layoutInCell="0" allowOverlap="1" relativeHeight="2" wp14:anchorId="4B9AF68D">
                <wp:simplePos x="0" y="0"/>
                <wp:positionH relativeFrom="column">
                  <wp:posOffset>346075</wp:posOffset>
                </wp:positionH>
                <wp:positionV relativeFrom="paragraph">
                  <wp:posOffset>64135</wp:posOffset>
                </wp:positionV>
                <wp:extent cx="1042670" cy="1194435"/>
                <wp:effectExtent l="0" t="0" r="25400" b="25400"/>
                <wp:wrapSquare wrapText="bothSides"/>
                <wp:docPr id="1" name="Kép 1"/>
                <a:graphic xmlns:a="http://schemas.openxmlformats.org/drawingml/2006/main">
                  <a:graphicData uri="http://schemas.openxmlformats.org/drawingml/2006/picture">
                    <pic:pic xmlns:pic="http://schemas.openxmlformats.org/drawingml/2006/picture">
                      <pic:nvPicPr>
                        <pic:cNvPr id="0" name="Kép 1" descr=""/>
                        <pic:cNvPicPr/>
                      </pic:nvPicPr>
                      <pic:blipFill>
                        <a:blip r:embed="rId2"/>
                        <a:stretch/>
                      </pic:blipFill>
                      <pic:spPr>
                        <a:xfrm>
                          <a:off x="0" y="0"/>
                          <a:ext cx="1042560" cy="1194480"/>
                        </a:xfrm>
                        <a:prstGeom prst="rect">
                          <a:avLst/>
                        </a:prstGeom>
                        <a:ln w="0">
                          <a:noFill/>
                        </a:ln>
                        <a:effectLst>
                          <a:outerShdw algn="ctr" dir="2700000" dist="36147" rotWithShape="0">
                            <a:srgbClr val="c6d9f1"/>
                          </a:outerShdw>
                        </a:effectLst>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Kép 1" stroked="f" o:allowincell="f" style="position:absolute;margin-left:27.25pt;margin-top:5.05pt;width:82.05pt;height:94pt;mso-wrap-style:none;v-text-anchor:middle" wp14:anchorId="4B9AF68D" type="_x0000_t75">
                <v:imagedata r:id="rId2" o:detectmouseclick="t"/>
                <v:stroke color="#3465a4" joinstyle="round" endcap="flat"/>
                <w10:wrap type="square"/>
              </v:shape>
            </w:pict>
          </mc:Fallback>
        </mc:AlternateContent>
      </w:r>
    </w:p>
    <w:p>
      <w:pPr>
        <w:pStyle w:val="Normal"/>
        <w:rPr>
          <w:sz w:val="16"/>
          <w:szCs w:val="16"/>
        </w:rPr>
      </w:pPr>
      <w:r>
        <w:rPr>
          <w:sz w:val="16"/>
          <w:szCs w:val="16"/>
        </w:rPr>
      </w:r>
    </w:p>
    <w:p>
      <w:pPr>
        <w:pStyle w:val="Normal"/>
        <w:spacing w:lineRule="auto" w:line="360"/>
        <w:ind w:left="3827" w:right="-1418" w:firstLine="1985"/>
        <w:rPr>
          <w:sz w:val="16"/>
          <w:szCs w:val="40"/>
        </w:rPr>
      </w:pPr>
      <w:r>
        <w:rPr>
          <w:b/>
          <w:sz w:val="16"/>
          <w:szCs w:val="40"/>
        </w:rPr>
        <w:t xml:space="preserve">Cím: </w:t>
      </w:r>
      <w:r>
        <w:rPr>
          <w:sz w:val="16"/>
          <w:szCs w:val="40"/>
        </w:rPr>
        <w:t>1158 Budapest, Molnár Viktor utca 94-96.</w:t>
      </w:r>
    </w:p>
    <w:p>
      <w:pPr>
        <w:pStyle w:val="Normal"/>
        <w:spacing w:lineRule="auto" w:line="360"/>
        <w:ind w:left="3827" w:right="-1418" w:firstLine="1985"/>
        <w:rPr>
          <w:sz w:val="16"/>
        </w:rPr>
      </w:pPr>
      <w:r>
        <w:rPr>
          <w:b/>
          <w:sz w:val="16"/>
        </w:rPr>
        <w:t xml:space="preserve">Telefonszám: </w:t>
      </w:r>
      <w:r>
        <w:rPr>
          <w:sz w:val="16"/>
        </w:rPr>
        <w:t>061 414 0500, 061 414 0501</w:t>
      </w:r>
    </w:p>
    <w:p>
      <w:pPr>
        <w:pStyle w:val="Normal"/>
        <w:spacing w:lineRule="auto" w:line="360"/>
        <w:ind w:left="3827" w:right="-1418" w:firstLine="1985"/>
        <w:rPr>
          <w:sz w:val="16"/>
        </w:rPr>
      </w:pPr>
      <w:r>
        <w:rPr>
          <w:b/>
          <w:sz w:val="16"/>
        </w:rPr>
        <w:t>E-mail:</w:t>
      </w:r>
      <w:r>
        <w:rPr>
          <w:sz w:val="16"/>
        </w:rPr>
        <w:t xml:space="preserve"> iroda@eta-szov.hu</w:t>
      </w:r>
    </w:p>
    <w:p>
      <w:pPr>
        <w:pStyle w:val="Normal"/>
        <w:spacing w:lineRule="auto" w:line="360"/>
        <w:ind w:left="3827" w:right="-1418" w:firstLine="1985"/>
        <w:rPr>
          <w:rStyle w:val="Internethivatkozs"/>
          <w:rFonts w:eastAsia="" w:eastAsiaTheme="majorEastAsia"/>
          <w:sz w:val="16"/>
        </w:rPr>
      </w:pPr>
      <w:r>
        <w:rPr>
          <w:b/>
          <w:sz w:val="16"/>
        </w:rPr>
        <w:t>Honlap:</w:t>
      </w:r>
      <w:r>
        <w:rPr>
          <w:sz w:val="16"/>
        </w:rPr>
        <w:t xml:space="preserve"> </w:t>
      </w:r>
      <w:hyperlink r:id="rId3">
        <w:r>
          <w:rPr>
            <w:rStyle w:val="Internethivatkozs"/>
            <w:rFonts w:eastAsia="" w:eastAsiaTheme="majorEastAsia"/>
            <w:sz w:val="16"/>
          </w:rPr>
          <w:t>http://eta-szov.hu/</w:t>
        </w:r>
      </w:hyperlink>
    </w:p>
    <w:p>
      <w:pPr>
        <w:pStyle w:val="Normal"/>
        <w:jc w:val="both"/>
        <w:rPr>
          <w:b/>
          <w:b/>
        </w:rPr>
      </w:pPr>
      <w:r>
        <w:rPr>
          <w:b/>
        </w:rPr>
      </w:r>
    </w:p>
    <w:p>
      <w:pPr>
        <w:pStyle w:val="Normal"/>
        <w:spacing w:lineRule="auto" w:line="259" w:before="0" w:after="160"/>
        <w:rPr>
          <w:rFonts w:ascii="Calibri" w:hAnsi="Calibri" w:eastAsia="Calibri" w:cs="" w:asciiTheme="minorHAnsi" w:cstheme="minorBidi" w:eastAsiaTheme="minorHAnsi" w:hAnsiTheme="minorHAnsi"/>
          <w:b/>
          <w:b/>
          <w:sz w:val="22"/>
          <w:szCs w:val="22"/>
          <w:lang w:eastAsia="en-US"/>
        </w:rPr>
      </w:pPr>
      <w:r>
        <w:rPr>
          <w:rFonts w:eastAsia="Calibri" w:cs="" w:ascii="Calibri" w:hAnsi="Calibri" w:asciiTheme="minorHAnsi" w:cstheme="minorBidi" w:eastAsiaTheme="minorHAnsi" w:hAnsiTheme="minorHAnsi"/>
          <w:b/>
          <w:sz w:val="22"/>
          <w:szCs w:val="22"/>
          <w:lang w:eastAsia="en-US"/>
        </w:rPr>
        <w:t xml:space="preserve">        </w:t>
      </w:r>
    </w:p>
    <w:p>
      <w:pPr>
        <w:pStyle w:val="Normal"/>
        <w:rPr>
          <w:rFonts w:ascii="Calibri" w:hAnsi="Calibri" w:eastAsia="Calibri" w:cs="" w:asciiTheme="minorHAnsi" w:cstheme="minorBidi" w:eastAsiaTheme="minorHAnsi" w:hAnsiTheme="minorHAnsi"/>
          <w:b/>
          <w:b/>
          <w:sz w:val="22"/>
          <w:szCs w:val="22"/>
          <w:lang w:eastAsia="en-US"/>
        </w:rPr>
      </w:pPr>
      <w:r>
        <w:rPr>
          <w:rFonts w:eastAsia="Calibri" w:cs="" w:cstheme="minorBidi" w:eastAsiaTheme="minorHAnsi" w:ascii="Calibri" w:hAnsi="Calibri"/>
          <w:b/>
          <w:sz w:val="22"/>
          <w:szCs w:val="22"/>
          <w:lang w:eastAsia="en-US"/>
        </w:rPr>
      </w:r>
    </w:p>
    <w:p>
      <w:pPr>
        <w:pStyle w:val="Normal"/>
        <w:spacing w:lineRule="auto" w:line="360" w:before="240" w:after="0"/>
        <w:jc w:val="center"/>
        <w:rPr>
          <w:b/>
          <w:b/>
          <w:sz w:val="32"/>
          <w:szCs w:val="32"/>
        </w:rPr>
      </w:pPr>
      <w:r>
        <w:rPr>
          <w:b/>
          <w:sz w:val="32"/>
          <w:szCs w:val="32"/>
        </w:rPr>
        <w:t xml:space="preserve">KÖZHASZNÚSÁGI BESZÁMOLÓ </w:t>
      </w:r>
    </w:p>
    <w:p>
      <w:pPr>
        <w:pStyle w:val="Normal"/>
        <w:spacing w:lineRule="auto" w:line="360"/>
        <w:jc w:val="center"/>
        <w:rPr>
          <w:b/>
          <w:b/>
          <w:sz w:val="32"/>
          <w:szCs w:val="32"/>
        </w:rPr>
      </w:pPr>
      <w:r>
        <w:rPr>
          <w:b/>
          <w:sz w:val="32"/>
          <w:szCs w:val="32"/>
        </w:rPr>
        <w:t xml:space="preserve">ÉTA Országos Szövetség </w:t>
      </w:r>
    </w:p>
    <w:p>
      <w:pPr>
        <w:pStyle w:val="Normal"/>
        <w:spacing w:lineRule="auto" w:line="360"/>
        <w:jc w:val="center"/>
        <w:rPr>
          <w:b/>
          <w:b/>
          <w:sz w:val="32"/>
          <w:szCs w:val="32"/>
        </w:rPr>
      </w:pPr>
      <w:r>
        <w:rPr>
          <w:b/>
          <w:sz w:val="32"/>
          <w:szCs w:val="32"/>
        </w:rPr>
        <w:t>2022. év</w:t>
      </w:r>
    </w:p>
    <w:p>
      <w:pPr>
        <w:pStyle w:val="Normal"/>
        <w:spacing w:lineRule="auto" w:line="360"/>
        <w:jc w:val="both"/>
        <w:rPr>
          <w:b/>
          <w:b/>
        </w:rPr>
      </w:pPr>
      <w:r>
        <w:rPr>
          <w:b/>
        </w:rPr>
      </w:r>
    </w:p>
    <w:p>
      <w:pPr>
        <w:pStyle w:val="Normal"/>
        <w:spacing w:lineRule="auto" w:line="360"/>
        <w:jc w:val="both"/>
        <w:rPr/>
      </w:pPr>
      <w:r>
        <w:rPr>
          <w:b/>
        </w:rPr>
        <w:t>A Szövetség szakmai programjait,</w:t>
      </w:r>
      <w:r>
        <w:rPr/>
        <w:t xml:space="preserve"> működését az alapszabály szerint végzi. A végrehajtott közhasznú feladatok költségeinek 98,6%-át a költségvetési támogatások fedezik. A tagdíj, a szolgáltatások nyújtása és az adományok finanszírozzák a költségek 1,4%-t. Az alábbi programok közhasznúsági tevékenységünk főbb területeit mutatják.</w:t>
      </w:r>
    </w:p>
    <w:p>
      <w:pPr>
        <w:pStyle w:val="Normal"/>
        <w:spacing w:lineRule="auto" w:line="360"/>
        <w:jc w:val="both"/>
        <w:rPr/>
      </w:pPr>
      <w:r>
        <w:rPr/>
        <w:t>A programok összeállításánál és egész éves lebonyolításánál figyelembe vettük az alapszabályunkban meghatározott célt, és igyekeztünk minden esetben elérni azt. Ami nem más, mint az értelmi és halmozott fogyatékossággal élő emberek és családjaik, valamint az őket segítő szakemberek mentálhigiénéjének, életminőségének javítása.</w:t>
      </w:r>
    </w:p>
    <w:p>
      <w:pPr>
        <w:pStyle w:val="Normal"/>
        <w:spacing w:lineRule="auto" w:line="360"/>
        <w:jc w:val="both"/>
        <w:rPr/>
      </w:pPr>
      <w:r>
        <w:rPr/>
      </w:r>
    </w:p>
    <w:p>
      <w:pPr>
        <w:pStyle w:val="Normal"/>
        <w:spacing w:lineRule="auto" w:line="360"/>
        <w:jc w:val="both"/>
        <w:rPr>
          <w:b/>
          <w:b/>
        </w:rPr>
      </w:pPr>
      <w:r>
        <w:rPr>
          <w:b/>
        </w:rPr>
        <w:t>Mentálhigiénés családi program:</w:t>
      </w:r>
    </w:p>
    <w:p>
      <w:pPr>
        <w:pStyle w:val="Normal"/>
        <w:spacing w:lineRule="auto" w:line="360"/>
        <w:jc w:val="both"/>
        <w:rPr/>
      </w:pPr>
      <w:r>
        <w:rPr/>
        <w:t>A fogyatékosságban érintett családok számára szervezett programok célja, hogy szakirányú segítséggel megvalósuló közösségi együttlét keretében a szülők és gyermekeik (ép és fogyatékossággal élő) feltöltődjenek, megéljék, felismerjék és elfogadják helyzetüket. Továbbá cél, hogy ezeken a nyári alkalmakon - legalább egy évben egyszer-, a családtagok gondtalanul együtt tudjanak tölteni néhány napot.</w:t>
      </w:r>
    </w:p>
    <w:p>
      <w:pPr>
        <w:pStyle w:val="Normal"/>
        <w:spacing w:lineRule="auto" w:line="360"/>
        <w:jc w:val="both"/>
        <w:rPr/>
      </w:pPr>
      <w:r>
        <w:rPr/>
        <w:t>A 2012 óta évente ismétlődő program egyre nagyobb népszerűségnek örvend, évről évre egyre többen szeretnék igénybe venni ezt a szolgáltatásunkat. 2022-ben összesen 63 fő  számára tudtuk biztosítani ezt a programot 3 turnusban, 6 éjszaka 7 nap időtartamban.</w:t>
      </w:r>
    </w:p>
    <w:p>
      <w:pPr>
        <w:pStyle w:val="Normal"/>
        <w:spacing w:lineRule="auto" w:line="360"/>
        <w:jc w:val="both"/>
        <w:rPr>
          <w:color w:val="FF0000"/>
        </w:rPr>
      </w:pPr>
      <w:r>
        <w:rPr>
          <w:color w:val="FF0000"/>
        </w:rPr>
      </w:r>
    </w:p>
    <w:p>
      <w:pPr>
        <w:pStyle w:val="Normal"/>
        <w:spacing w:lineRule="auto" w:line="360"/>
        <w:jc w:val="both"/>
        <w:rPr/>
      </w:pPr>
      <w:r>
        <w:rPr/>
      </w:r>
    </w:p>
    <w:p>
      <w:pPr>
        <w:pStyle w:val="Normal"/>
        <w:spacing w:lineRule="auto" w:line="360"/>
        <w:jc w:val="both"/>
        <w:rPr/>
      </w:pPr>
      <w:r>
        <w:rPr/>
      </w:r>
    </w:p>
    <w:p>
      <w:pPr>
        <w:pStyle w:val="Normal"/>
        <w:spacing w:lineRule="auto" w:line="360"/>
        <w:jc w:val="both"/>
        <w:rPr/>
      </w:pPr>
      <w:r>
        <w:rPr/>
      </w:r>
    </w:p>
    <w:p>
      <w:pPr>
        <w:pStyle w:val="Normal"/>
        <w:spacing w:lineRule="auto" w:line="360"/>
        <w:jc w:val="both"/>
        <w:rPr/>
      </w:pPr>
      <w:r>
        <w:rPr/>
      </w:r>
    </w:p>
    <w:p>
      <w:pPr>
        <w:pStyle w:val="Normal"/>
        <w:spacing w:lineRule="auto" w:line="360"/>
        <w:jc w:val="both"/>
        <w:rPr>
          <w:b/>
          <w:b/>
        </w:rPr>
      </w:pPr>
      <w:r>
        <w:rPr>
          <w:b/>
        </w:rPr>
        <w:t>Diákönkéntes és Közösségi Szolgálat program:</w:t>
      </w:r>
    </w:p>
    <w:p>
      <w:pPr>
        <w:pStyle w:val="Normal"/>
        <w:spacing w:lineRule="auto" w:line="360"/>
        <w:jc w:val="both"/>
        <w:rPr>
          <w:b/>
          <w:b/>
        </w:rPr>
      </w:pPr>
      <w:r>
        <w:rPr>
          <w:b/>
        </w:rPr>
      </w:r>
    </w:p>
    <w:p>
      <w:pPr>
        <w:pStyle w:val="Normal"/>
        <w:spacing w:lineRule="auto" w:line="360"/>
        <w:jc w:val="both"/>
        <w:rPr/>
      </w:pPr>
      <w:r>
        <w:rPr/>
        <w:t>A program 2012-ben indult 2 Békés-megyei középiskola közreműködésével. 2022. évre  4 többségi iskolával – középiskolával - és 2 speciális szakiskolával bővült. A programban az iskolák egy-egy pedagógusával kötött munkaszerződéssel, és az ügyvezetésben dolgozó szakemberrel biztosítottuk a folyamatos teljesítését. A 2022. december 31-ei állapot szerint a szerződéses jogviszonyban álló közösségi szolgálatot és önkéntes munkát teljesítő diákok létszáma</w:t>
      </w:r>
      <w:r>
        <w:rPr>
          <w:color w:val="FF0000"/>
        </w:rPr>
        <w:t xml:space="preserve"> </w:t>
      </w:r>
      <w:r>
        <w:rPr/>
        <w:t>88</w:t>
      </w:r>
      <w:r>
        <w:rPr>
          <w:color w:val="FF0000"/>
        </w:rPr>
        <w:t xml:space="preserve"> </w:t>
      </w:r>
      <w:r>
        <w:rPr/>
        <w:t>fő. A program dokumentációjaként rendszeresített dokumentumok: jelentkezési lap, szülői hozzájárulás, diáknapló, illetve a programba vont iskolákkal, iskolánkként 1-1 pedagógussal és a teljesítő diákokkal kötött szerződések, negyedéves beszámolóhoz tartozó szempontsor.</w:t>
      </w:r>
    </w:p>
    <w:p>
      <w:pPr>
        <w:pStyle w:val="Normal"/>
        <w:spacing w:lineRule="auto" w:line="360"/>
        <w:jc w:val="both"/>
        <w:rPr/>
      </w:pPr>
      <w:r>
        <w:rPr/>
        <w:t>A teljesítési igazolások a közoktatásban elvárt mértéket esetenként meghaladó teljesítéseket mutatnak.</w:t>
      </w:r>
    </w:p>
    <w:p>
      <w:pPr>
        <w:pStyle w:val="Normal"/>
        <w:spacing w:lineRule="auto" w:line="360"/>
        <w:jc w:val="both"/>
        <w:rPr/>
      </w:pPr>
      <w:r>
        <w:rPr/>
        <w:t>A közösségi szolgálatot és önkéntes tevékenységet teljesítő diákok számára a Balatonmáriafürdői Regens Wagner Közhasznú Alapítványnál tapasztalatösszegző, közösségi .együttlétet szervezünk évente egy alkalommal 2022.07.27-08.03 időszakban.</w:t>
      </w:r>
    </w:p>
    <w:p>
      <w:pPr>
        <w:pStyle w:val="Normal"/>
        <w:keepNext w:val="true"/>
        <w:numPr>
          <w:ilvl w:val="0"/>
          <w:numId w:val="0"/>
        </w:numPr>
        <w:spacing w:lineRule="auto" w:line="360"/>
        <w:jc w:val="both"/>
        <w:outlineLvl w:val="0"/>
        <w:rPr>
          <w:b/>
          <w:b/>
          <w:bCs/>
          <w:kern w:val="2"/>
        </w:rPr>
      </w:pPr>
      <w:r>
        <w:rPr>
          <w:bCs/>
        </w:rPr>
        <w:t>Programban 4 többségi iskola és 2 speciális iskola diákjai és pedagógusai vettek részt. Összesen: 25 fő.</w:t>
      </w:r>
    </w:p>
    <w:p>
      <w:pPr>
        <w:pStyle w:val="Normal"/>
        <w:spacing w:lineRule="auto" w:line="360"/>
        <w:jc w:val="both"/>
        <w:rPr/>
      </w:pPr>
      <w:r>
        <w:rPr/>
      </w:r>
    </w:p>
    <w:p>
      <w:pPr>
        <w:pStyle w:val="Normal"/>
        <w:spacing w:lineRule="auto" w:line="360"/>
        <w:jc w:val="both"/>
        <w:rPr>
          <w:b/>
          <w:b/>
        </w:rPr>
      </w:pPr>
      <w:r>
        <w:rPr>
          <w:b/>
        </w:rPr>
        <w:t>Képzőművészeti kiállítás:</w:t>
      </w:r>
    </w:p>
    <w:p>
      <w:pPr>
        <w:pStyle w:val="Normal"/>
        <w:spacing w:lineRule="auto" w:line="360"/>
        <w:jc w:val="both"/>
        <w:rPr/>
      </w:pPr>
      <w:r>
        <w:rPr/>
        <w:t xml:space="preserve"> </w:t>
      </w:r>
      <w:r>
        <w:rPr/>
        <w:t xml:space="preserve">A 2002 év óta folyamatosan működő program keretén belül a fogyatékossággal élő emberek által készített dísz- és használati tárgyak kerülnek bemutatásra, valamint olyan képzőművészeti alkotások, festmények, melyeket a szövetség által támogatott programokon készítenek a sérült emberek. A 2022. évi kiállítás az ÉTA Országos Szövetség székhelyén (1158 Budapest, Molnár Viktor u. 94-96.) valósult meg. </w:t>
      </w:r>
    </w:p>
    <w:p>
      <w:pPr>
        <w:pStyle w:val="Normal"/>
        <w:spacing w:lineRule="auto" w:line="360"/>
        <w:jc w:val="both"/>
        <w:rPr/>
      </w:pPr>
      <w:r>
        <w:rPr/>
        <w:t>Kiállítók: Lámpás ’92 Alapítvány – képzőművészeti kiállítás</w:t>
      </w:r>
    </w:p>
    <w:p>
      <w:pPr>
        <w:pStyle w:val="Normal"/>
        <w:spacing w:lineRule="auto" w:line="360"/>
        <w:jc w:val="both"/>
        <w:rPr/>
      </w:pPr>
      <w:r>
        <w:rPr/>
        <w:t xml:space="preserve">                </w:t>
      </w:r>
      <w:r>
        <w:rPr/>
        <w:t xml:space="preserve">Esőemberekért Egyesület  -  dísz- és használati tárgyak, aszalványok,   </w:t>
      </w:r>
    </w:p>
    <w:p>
      <w:pPr>
        <w:pStyle w:val="Normal"/>
        <w:spacing w:lineRule="auto" w:line="360"/>
        <w:jc w:val="both"/>
        <w:rPr/>
      </w:pPr>
      <w:r>
        <w:rPr/>
        <w:t xml:space="preserve">                </w:t>
      </w:r>
      <w:r>
        <w:rPr/>
        <w:t>aprósütemények</w:t>
      </w:r>
    </w:p>
    <w:p>
      <w:pPr>
        <w:pStyle w:val="Normal"/>
        <w:numPr>
          <w:ilvl w:val="0"/>
          <w:numId w:val="0"/>
        </w:numPr>
        <w:outlineLvl w:val="0"/>
        <w:rPr>
          <w:bCs/>
          <w:color w:val="FF0000"/>
          <w:kern w:val="2"/>
        </w:rPr>
      </w:pPr>
      <w:r>
        <w:rPr>
          <w:bCs/>
          <w:color w:val="FF0000"/>
          <w:kern w:val="2"/>
        </w:rPr>
      </w:r>
    </w:p>
    <w:p>
      <w:pPr>
        <w:pStyle w:val="Normal"/>
        <w:spacing w:lineRule="auto" w:line="360" w:before="240" w:after="0"/>
        <w:jc w:val="both"/>
        <w:rPr/>
      </w:pPr>
      <w:r>
        <w:rPr>
          <w:b/>
        </w:rPr>
        <w:t>Képzőművészeti alkotótábor:</w:t>
      </w:r>
    </w:p>
    <w:p>
      <w:pPr>
        <w:pStyle w:val="Normal"/>
        <w:spacing w:lineRule="auto" w:line="360"/>
        <w:jc w:val="both"/>
        <w:rPr/>
      </w:pPr>
      <w:r>
        <w:rPr/>
        <w:t xml:space="preserve">A program tartalmi lényege a képzőművészet iránt érdeklődő és alkotni is akaró, fogyatékossággal élő emberek támogatása. A program évente egyszer kerül megrendezésre, 7 napos időtartammal. A tárgyévben 22 fő fogyatékossággal élő személy részvételével, Kemencén került megrendezésre. Itt a hagyományos gyakorlatnak megfelelően professzionális művészek támogatásával készülnek az alkotások. </w:t>
      </w:r>
    </w:p>
    <w:p>
      <w:pPr>
        <w:pStyle w:val="Normal"/>
        <w:spacing w:lineRule="auto" w:line="360" w:before="0" w:after="0"/>
        <w:contextualSpacing/>
        <w:jc w:val="both"/>
        <w:rPr>
          <w:rFonts w:eastAsia="Calibri"/>
          <w:lang w:eastAsia="en-US"/>
        </w:rPr>
      </w:pPr>
      <w:r>
        <w:rPr/>
        <w:t xml:space="preserve">A program alkotóinak produktumai a nagyközönség számára is elérhetővé válnak a Lámpás ’92 Alapítvány által szervezett kiállítások által. A képzőművészeti alkotótábort szövetségünk tagszervezete által teljesíti, szerződésben megfogalmazott együttműködés alapján. </w:t>
      </w:r>
    </w:p>
    <w:p>
      <w:pPr>
        <w:pStyle w:val="Normal"/>
        <w:spacing w:lineRule="auto" w:line="360" w:before="240" w:after="0"/>
        <w:jc w:val="both"/>
        <w:rPr>
          <w:b/>
          <w:b/>
        </w:rPr>
      </w:pPr>
      <w:r>
        <w:rPr>
          <w:b/>
        </w:rPr>
        <w:t>Rekreációs program:</w:t>
      </w:r>
    </w:p>
    <w:p>
      <w:pPr>
        <w:pStyle w:val="Normal"/>
        <w:spacing w:lineRule="auto" w:line="360"/>
        <w:jc w:val="both"/>
        <w:rPr/>
      </w:pPr>
      <w:r>
        <w:rPr/>
        <w:t>A szövetségnek ez a programja 8 éve működik igen nagy sikerrel. Az országos szinten is egyedülálló kezdeményezés lényege, a fogyatékossággal élő emberek segítésében évek óta közreműködő, hivatásszerű munkát teljesítő - tagszervezeti munkatársak - testi-, lelki terheltségét csökkentő csoportos együttléte, a megszokott környezetükből történő kiemeléssel, és szakember koordinációja mellet megvalósuló egy héten át tartó együttléttel.</w:t>
      </w:r>
    </w:p>
    <w:p>
      <w:pPr>
        <w:pStyle w:val="Normal"/>
        <w:spacing w:lineRule="auto" w:line="360"/>
        <w:jc w:val="both"/>
        <w:rPr/>
      </w:pPr>
      <w:r>
        <w:rPr/>
        <w:t xml:space="preserve">A program potenciális célszemélyei az ÉTA Országos Szövetség ernyője alatt működő tagszervezeteinél dolgozó segítők, szakemberek közel 600 fő. </w:t>
      </w:r>
    </w:p>
    <w:p>
      <w:pPr>
        <w:pStyle w:val="Normal"/>
        <w:spacing w:lineRule="auto" w:line="360"/>
        <w:jc w:val="both"/>
        <w:rPr/>
      </w:pPr>
      <w:r>
        <w:rPr/>
        <w:t>A szövetség tárgy évben 4 turnusban, 7-7 nappal, biztosította a program teljesítését a Regens Wagner Közhasznú Alapítvány balatonmáriafürdői székhelyén. A programban összesen 32 fő vett részt.</w:t>
      </w:r>
    </w:p>
    <w:p>
      <w:pPr>
        <w:pStyle w:val="Normal"/>
        <w:spacing w:lineRule="auto" w:line="360"/>
        <w:jc w:val="both"/>
        <w:rPr/>
      </w:pPr>
      <w:r>
        <w:rPr/>
      </w:r>
    </w:p>
    <w:p>
      <w:pPr>
        <w:pStyle w:val="Normal"/>
        <w:spacing w:lineRule="auto" w:line="360"/>
        <w:jc w:val="both"/>
        <w:rPr/>
      </w:pPr>
      <w:r>
        <w:rPr>
          <w:b/>
        </w:rPr>
        <w:t xml:space="preserve">Tagszervezeteink szakmai programjainak és a rehabilitációs foglalkoztatók alapanyag- és eszközbeszerző tevékenységének támogatása: </w:t>
      </w:r>
    </w:p>
    <w:p>
      <w:pPr>
        <w:pStyle w:val="Normal"/>
        <w:spacing w:lineRule="auto" w:line="360"/>
        <w:jc w:val="both"/>
        <w:rPr/>
      </w:pPr>
      <w:r>
        <w:rPr/>
        <w:t>E programban továbbutalt támogatásként zártkörű pályázati eljárás keretében azokat a tagszervezetinket részesítettük támogatásban, ahol ez a foglalkoztatást és különböző szakmai programok megvalósítását segítette (</w:t>
      </w:r>
      <w:r>
        <w:rPr>
          <w:b/>
        </w:rPr>
        <w:t>47 tagszervezet, 70 pályázat).</w:t>
      </w:r>
      <w:r>
        <w:rPr/>
        <w:t xml:space="preserve"> A pályázati kiírás szövetségünk ÉTA Hírek című újságjában és honlapján jelent meg.</w:t>
      </w:r>
    </w:p>
    <w:p>
      <w:pPr>
        <w:pStyle w:val="Normal"/>
        <w:spacing w:lineRule="auto" w:line="360"/>
        <w:jc w:val="both"/>
        <w:rPr/>
      </w:pPr>
      <w:r>
        <w:rPr/>
        <w:t xml:space="preserve">A szövetség elnöksége, mint bírálati fórum döntésének megfelelően </w:t>
      </w:r>
      <w:r>
        <w:rPr>
          <w:b/>
        </w:rPr>
        <w:t>47</w:t>
      </w:r>
      <w:r>
        <w:rPr/>
        <w:t xml:space="preserve"> tagszervezet kapott támogatást, akikkel szerződést kötöttük. Összességében </w:t>
      </w:r>
      <w:r>
        <w:rPr>
          <w:b/>
        </w:rPr>
        <w:t>26.099.624</w:t>
      </w:r>
      <w:r>
        <w:rPr/>
        <w:t xml:space="preserve"> forint összegben. Továbbá, 8 tagszervezet egyedi programtámogatási kérelmére 1.980.000 forint támogatást biztosítottunk.</w:t>
      </w:r>
      <w:r>
        <w:rPr>
          <w:color w:val="FF0000"/>
        </w:rPr>
        <w:t xml:space="preserve"> </w:t>
      </w:r>
      <w:r>
        <w:rPr/>
        <w:t xml:space="preserve">A támogatási összeggel minden tagszervezet elszámolt. </w:t>
      </w:r>
    </w:p>
    <w:p>
      <w:pPr>
        <w:pStyle w:val="Normal"/>
        <w:spacing w:lineRule="auto" w:line="360" w:before="0" w:after="200"/>
        <w:contextualSpacing/>
        <w:jc w:val="both"/>
        <w:rPr>
          <w:rFonts w:eastAsia="Calibri"/>
          <w:lang w:eastAsia="en-US"/>
        </w:rPr>
      </w:pPr>
      <w:r>
        <w:rPr>
          <w:rFonts w:eastAsia="Calibri"/>
          <w:lang w:eastAsia="en-US"/>
        </w:rPr>
      </w:r>
    </w:p>
    <w:p>
      <w:pPr>
        <w:pStyle w:val="Normal"/>
        <w:spacing w:lineRule="auto" w:line="360" w:before="0" w:after="200"/>
        <w:contextualSpacing/>
        <w:jc w:val="both"/>
        <w:rPr>
          <w:rFonts w:eastAsia="Calibri"/>
          <w:lang w:eastAsia="en-US"/>
        </w:rPr>
      </w:pPr>
      <w:r>
        <w:rPr>
          <w:rFonts w:eastAsia="Calibri"/>
          <w:b/>
          <w:lang w:eastAsia="en-US"/>
        </w:rPr>
        <w:t>„</w:t>
      </w:r>
      <w:r>
        <w:rPr>
          <w:rFonts w:eastAsia="Calibri"/>
          <w:b/>
          <w:lang w:eastAsia="en-US"/>
        </w:rPr>
        <w:t xml:space="preserve">Patrónus” program: </w:t>
      </w:r>
    </w:p>
    <w:p>
      <w:pPr>
        <w:pStyle w:val="Normal"/>
        <w:spacing w:lineRule="auto" w:line="360" w:before="0" w:after="200"/>
        <w:contextualSpacing/>
        <w:jc w:val="both"/>
        <w:rPr>
          <w:rFonts w:eastAsia="Calibri"/>
          <w:lang w:eastAsia="en-US"/>
        </w:rPr>
      </w:pPr>
      <w:r>
        <w:rPr>
          <w:rFonts w:eastAsia="Calibri"/>
          <w:lang w:eastAsia="en-US"/>
        </w:rPr>
        <w:t xml:space="preserve">Innovatív jellegű, modellértékű program, mely lényege: állami gondoskodásban élő lévő, 12-16 év közötti, fogyatékossággal élő fiatal patronálása segítő felnőttek közreműködésével. A program a szövetség és a martonvásári Együtt-Értük Alapítvány közös projektjében valósul meg. Tárgyév során 2 patrónus család, 3 fő fogyatékkal élő vett részt a programban. </w:t>
      </w:r>
    </w:p>
    <w:p>
      <w:pPr>
        <w:pStyle w:val="Normal"/>
        <w:spacing w:lineRule="auto" w:line="360" w:before="0" w:after="200"/>
        <w:contextualSpacing/>
        <w:jc w:val="both"/>
        <w:rPr>
          <w:rFonts w:eastAsia="Calibri"/>
          <w:lang w:eastAsia="en-US"/>
        </w:rPr>
      </w:pPr>
      <w:r>
        <w:rPr>
          <w:rFonts w:eastAsia="Calibri"/>
          <w:lang w:eastAsia="en-US"/>
        </w:rPr>
      </w:r>
    </w:p>
    <w:p>
      <w:pPr>
        <w:pStyle w:val="Normal"/>
        <w:spacing w:lineRule="auto" w:line="360" w:before="0" w:after="200"/>
        <w:contextualSpacing/>
        <w:jc w:val="both"/>
        <w:rPr>
          <w:rFonts w:eastAsia="Calibri"/>
          <w:lang w:eastAsia="en-US"/>
        </w:rPr>
      </w:pPr>
      <w:r>
        <w:rPr>
          <w:rFonts w:eastAsia="Calibri"/>
          <w:lang w:eastAsia="en-US"/>
        </w:rPr>
      </w:r>
    </w:p>
    <w:p>
      <w:pPr>
        <w:pStyle w:val="Normal"/>
        <w:spacing w:lineRule="auto" w:line="360" w:before="0" w:after="200"/>
        <w:contextualSpacing/>
        <w:jc w:val="both"/>
        <w:rPr>
          <w:rFonts w:eastAsia="Calibri"/>
          <w:lang w:eastAsia="en-US"/>
        </w:rPr>
      </w:pPr>
      <w:r>
        <w:rPr>
          <w:rFonts w:eastAsia="Calibri"/>
          <w:lang w:eastAsia="en-US"/>
        </w:rPr>
      </w:r>
    </w:p>
    <w:p>
      <w:pPr>
        <w:pStyle w:val="Normal"/>
        <w:spacing w:lineRule="auto" w:line="360" w:before="0" w:after="0"/>
        <w:contextualSpacing/>
        <w:jc w:val="both"/>
        <w:rPr>
          <w:bCs/>
        </w:rPr>
      </w:pPr>
      <w:r>
        <w:rPr>
          <w:bCs/>
        </w:rPr>
      </w:r>
    </w:p>
    <w:p>
      <w:pPr>
        <w:pStyle w:val="Normal"/>
        <w:spacing w:lineRule="auto" w:line="360" w:before="0" w:after="0"/>
        <w:contextualSpacing/>
        <w:jc w:val="both"/>
        <w:rPr>
          <w:b/>
          <w:b/>
        </w:rPr>
      </w:pPr>
      <w:r>
        <w:rPr>
          <w:b/>
        </w:rPr>
        <w:t>„</w:t>
      </w:r>
      <w:r>
        <w:rPr>
          <w:b/>
        </w:rPr>
        <w:t>Szakemberek mentálhigiénés megsegítése”</w:t>
      </w:r>
    </w:p>
    <w:p>
      <w:pPr>
        <w:pStyle w:val="Normal"/>
        <w:spacing w:lineRule="auto" w:line="360"/>
        <w:jc w:val="both"/>
        <w:rPr/>
      </w:pPr>
      <w:r>
        <w:rPr/>
        <w:t>A program elemek szervezésével és lebonyolításával az volt elsődleges célunk, hogy tagszervezeteinknél dolgozó munkatársaink számára olyan alkalmakat teremtsünk, ahol szakember (Dr. Preisz Éva szakpszichológus) közreműködésével beszélhetnek a pandémiás helyzet okozta szorongásaikról, félelmeikről, egyéb nehézségeikről.</w:t>
      </w:r>
    </w:p>
    <w:p>
      <w:pPr>
        <w:pStyle w:val="Normal"/>
        <w:spacing w:lineRule="auto" w:line="360"/>
        <w:jc w:val="both"/>
        <w:rPr/>
      </w:pPr>
      <w:r>
        <w:rPr/>
        <w:t>2022 január-november időszakban 12 alkalommal volt lehetőségünk bonyolítani mentálhigiénés program-szolgáltatásunkat szövetségi székhelyen, tagszervezeti helyszíneken, valamint együttműködő partnerünk (Budapest, Rákosmente Önkormányzata) által biztosított helyszínen.</w:t>
      </w:r>
    </w:p>
    <w:p>
      <w:pPr>
        <w:pStyle w:val="Normal"/>
        <w:spacing w:lineRule="auto" w:line="360"/>
        <w:jc w:val="both"/>
        <w:rPr>
          <w:strike/>
        </w:rPr>
      </w:pPr>
      <w:r>
        <w:rPr/>
        <w:t>Fent nevezett időszakban 8 tagszervezet, valamint 1 együttműködési megállapodásban lévő partnerünk delegálásában 112 fő munkatárs vett részt mentálhigiénés támogató programunkon.</w:t>
      </w:r>
    </w:p>
    <w:p>
      <w:pPr>
        <w:pStyle w:val="Normal"/>
        <w:spacing w:lineRule="auto" w:line="360"/>
        <w:jc w:val="both"/>
        <w:rPr/>
      </w:pPr>
      <w:r>
        <w:rPr/>
        <w:t>A kapott visszajelzések szerint az alkalmak nagy várakozás, érdeklődés közepette zajlottak együtt működően és aktívan a jelen lévők részéről.</w:t>
      </w:r>
    </w:p>
    <w:p>
      <w:pPr>
        <w:pStyle w:val="Normal"/>
        <w:spacing w:lineRule="auto" w:line="360" w:before="0" w:after="0"/>
        <w:contextualSpacing/>
        <w:jc w:val="both"/>
        <w:rPr>
          <w:bCs/>
        </w:rPr>
      </w:pPr>
      <w:r>
        <w:rPr>
          <w:bCs/>
        </w:rPr>
      </w:r>
    </w:p>
    <w:p>
      <w:pPr>
        <w:pStyle w:val="Normal"/>
        <w:rPr>
          <w:b/>
          <w:b/>
          <w:bCs/>
        </w:rPr>
      </w:pPr>
      <w:r>
        <w:rPr>
          <w:b/>
          <w:bCs/>
        </w:rPr>
        <w:t>Bemutatkozó rövid filmek készítése Tagszervezeteinkről</w:t>
      </w:r>
    </w:p>
    <w:p>
      <w:pPr>
        <w:pStyle w:val="Normal"/>
        <w:jc w:val="both"/>
        <w:rPr/>
      </w:pPr>
      <w:r>
        <w:rPr/>
      </w:r>
    </w:p>
    <w:p>
      <w:pPr>
        <w:pStyle w:val="Normal"/>
        <w:spacing w:lineRule="auto" w:line="360"/>
        <w:jc w:val="both"/>
        <w:rPr/>
      </w:pPr>
      <w:r>
        <w:rPr/>
        <w:t>2022-ben, alkalmazkodva még mindig a pandémia okozta következményekhez a mindennapokban, az online teret, pontosabban az online csatornánk adta lehetőségeket kihasználva 3 tagszervezetünkről  és szövetségünk iskolai szemléletformáló programjáról készült profi stáb által készített bemutatkozó film.</w:t>
      </w:r>
    </w:p>
    <w:p>
      <w:pPr>
        <w:pStyle w:val="Normal"/>
        <w:spacing w:lineRule="auto" w:line="360"/>
        <w:jc w:val="both"/>
        <w:rPr/>
      </w:pPr>
      <w:r>
        <w:rPr/>
        <w:t>Civitan Club Help  Budapest</w:t>
      </w:r>
    </w:p>
    <w:p>
      <w:pPr>
        <w:pStyle w:val="Normal"/>
        <w:spacing w:lineRule="auto" w:line="360"/>
        <w:jc w:val="both"/>
        <w:rPr/>
      </w:pPr>
      <w:r>
        <w:rPr/>
        <w:t>Otthon XVI. Alapítvány Budapest</w:t>
      </w:r>
    </w:p>
    <w:p>
      <w:pPr>
        <w:pStyle w:val="Normal"/>
        <w:spacing w:lineRule="auto" w:line="360"/>
        <w:jc w:val="both"/>
        <w:rPr/>
      </w:pPr>
      <w:r>
        <w:rPr/>
        <w:t>Itthon-Otthon Alapítvány Budapest</w:t>
      </w:r>
    </w:p>
    <w:p>
      <w:pPr>
        <w:pStyle w:val="Normal"/>
        <w:spacing w:lineRule="auto" w:line="360"/>
        <w:rPr/>
      </w:pPr>
      <w:r>
        <w:rPr/>
        <w:t xml:space="preserve">YouTube elérhetőségünk: </w:t>
      </w:r>
      <w:hyperlink r:id="rId4">
        <w:r>
          <w:rPr>
            <w:rStyle w:val="Internethivatkozs"/>
          </w:rPr>
          <w:t>https://www.youtube.com/channel/UCBpx7AT07tAXP6xuC3PCVFw</w:t>
        </w:r>
      </w:hyperlink>
    </w:p>
    <w:p>
      <w:pPr>
        <w:pStyle w:val="Normal"/>
        <w:spacing w:lineRule="auto" w:line="360"/>
        <w:rPr>
          <w:color w:val="0563C1"/>
          <w:u w:val="single"/>
        </w:rPr>
      </w:pPr>
      <w:r>
        <w:rPr>
          <w:color w:val="0563C1"/>
          <w:u w:val="single"/>
        </w:rPr>
        <w:t>https://www.youtube.com/watch?v=xwCbAwvbaYc</w:t>
      </w:r>
    </w:p>
    <w:p>
      <w:pPr>
        <w:pStyle w:val="Normal"/>
        <w:spacing w:lineRule="auto" w:line="360" w:before="0" w:after="0"/>
        <w:contextualSpacing/>
        <w:jc w:val="both"/>
        <w:rPr>
          <w:bCs/>
        </w:rPr>
      </w:pPr>
      <w:r>
        <w:rPr>
          <w:bCs/>
        </w:rPr>
      </w:r>
    </w:p>
    <w:p>
      <w:pPr>
        <w:pStyle w:val="Normal"/>
        <w:spacing w:lineRule="auto" w:line="360" w:before="0" w:after="0"/>
        <w:contextualSpacing/>
        <w:jc w:val="both"/>
        <w:rPr>
          <w:b/>
          <w:b/>
        </w:rPr>
      </w:pPr>
      <w:r>
        <w:rPr>
          <w:b/>
        </w:rPr>
        <w:t>Szemléletformálás általános iskolásoknak</w:t>
      </w:r>
    </w:p>
    <w:p>
      <w:pPr>
        <w:pStyle w:val="Normal"/>
        <w:spacing w:lineRule="auto" w:line="360" w:before="0" w:after="0"/>
        <w:contextualSpacing/>
        <w:jc w:val="both"/>
        <w:rPr>
          <w:bCs/>
        </w:rPr>
      </w:pPr>
      <w:r>
        <w:rPr>
          <w:bCs/>
        </w:rPr>
        <w:t>A Budapest Főváros XVII. kerületének Rákosmente Önkormányzataval együttműködve Szövetségünk több éve látogatja a kerület iskoláit, ahol szemléletformáló foglalkozásokat szervezünk általános iskolások számára. A foglalkozások során a tanulók játékos formában ismerkedhetnek meg a legfontosabb fogalmakkal, fogyatékossági típusokkal, a fogyatékossággal élő személyeket érintő legmeghatározóbb témákkal, kommunikációs formákkal, valamint bátran kérdezhetnek (és kérdeznek is) az őket leginkább foglalkoztató konkrét kérdésekről is. 2022-ben 4 iskolában jártunk a XVII. kerület iskoláiban a Lámpás '92 Alapítvány tagszervezetünkkel közösen, a szervezet tapasztalati szakértőinek közreműködésével.</w:t>
      </w:r>
    </w:p>
    <w:p>
      <w:pPr>
        <w:pStyle w:val="Normal"/>
        <w:spacing w:lineRule="auto" w:line="360" w:before="0" w:after="0"/>
        <w:contextualSpacing/>
        <w:jc w:val="both"/>
        <w:rPr>
          <w:b/>
          <w:b/>
        </w:rPr>
      </w:pPr>
      <w:r>
        <w:rPr>
          <w:b/>
        </w:rPr>
      </w:r>
    </w:p>
    <w:p>
      <w:pPr>
        <w:pStyle w:val="Normal"/>
        <w:spacing w:lineRule="auto" w:line="360" w:before="0" w:after="200"/>
        <w:contextualSpacing/>
        <w:jc w:val="both"/>
        <w:rPr>
          <w:b/>
          <w:b/>
        </w:rPr>
      </w:pPr>
      <w:r>
        <w:rPr>
          <w:b/>
        </w:rPr>
      </w:r>
    </w:p>
    <w:p>
      <w:pPr>
        <w:pStyle w:val="Normal"/>
        <w:spacing w:lineRule="auto" w:line="360" w:before="0" w:after="200"/>
        <w:contextualSpacing/>
        <w:jc w:val="both"/>
        <w:rPr>
          <w:rFonts w:eastAsia="Calibri"/>
          <w:lang w:eastAsia="en-US"/>
        </w:rPr>
      </w:pPr>
      <w:r>
        <w:rPr>
          <w:rFonts w:eastAsia="Calibri"/>
          <w:b/>
          <w:lang w:eastAsia="en-US"/>
        </w:rPr>
        <w:t xml:space="preserve">Általános szakmai érdekvédelmi feladatteljesítések: </w:t>
      </w:r>
    </w:p>
    <w:p>
      <w:pPr>
        <w:pStyle w:val="Normal"/>
        <w:numPr>
          <w:ilvl w:val="0"/>
          <w:numId w:val="1"/>
        </w:numPr>
        <w:spacing w:lineRule="auto" w:line="360" w:before="0" w:after="200"/>
        <w:contextualSpacing/>
        <w:jc w:val="both"/>
        <w:rPr>
          <w:rFonts w:eastAsia="Calibri"/>
          <w:lang w:eastAsia="en-US"/>
        </w:rPr>
      </w:pPr>
      <w:r>
        <w:rPr>
          <w:rFonts w:eastAsia="Calibri"/>
          <w:lang w:eastAsia="en-US"/>
        </w:rPr>
        <w:t>Szövetségünk „</w:t>
      </w:r>
      <w:r>
        <w:rPr>
          <w:rFonts w:eastAsia="Calibri"/>
          <w:b/>
          <w:lang w:eastAsia="en-US"/>
        </w:rPr>
        <w:t>ÉTA Hírek</w:t>
      </w:r>
      <w:r>
        <w:rPr>
          <w:rFonts w:eastAsia="Calibri"/>
          <w:lang w:eastAsia="en-US"/>
        </w:rPr>
        <w:t xml:space="preserve">” című újságja a tárgyévben 4 alkalommal jelent meg. </w:t>
      </w:r>
    </w:p>
    <w:p>
      <w:pPr>
        <w:pStyle w:val="Normal"/>
        <w:spacing w:lineRule="auto" w:line="360" w:before="0" w:after="200"/>
        <w:ind w:left="720" w:hanging="0"/>
        <w:contextualSpacing/>
        <w:jc w:val="both"/>
        <w:rPr>
          <w:rFonts w:eastAsia="Calibri"/>
          <w:lang w:eastAsia="en-US"/>
        </w:rPr>
      </w:pPr>
      <w:r>
        <w:rPr>
          <w:rFonts w:eastAsia="Calibri"/>
          <w:lang w:eastAsia="en-US"/>
        </w:rPr>
        <w:t>Az alkalmanként 400 pld-ban. Az újság közvetlen címzettjei a szövetségi tagszerveztek szolgáltatásait igénybevevők</w:t>
      </w:r>
    </w:p>
    <w:p>
      <w:pPr>
        <w:pStyle w:val="Normal"/>
        <w:spacing w:lineRule="auto" w:line="360" w:before="0" w:after="200"/>
        <w:ind w:left="720" w:hanging="0"/>
        <w:contextualSpacing/>
        <w:jc w:val="both"/>
        <w:rPr>
          <w:rFonts w:eastAsia="Calibri"/>
          <w:lang w:eastAsia="en-US"/>
        </w:rPr>
      </w:pPr>
      <w:r>
        <w:rPr>
          <w:rFonts w:eastAsia="Calibri"/>
          <w:lang w:eastAsia="en-US"/>
        </w:rPr>
        <w:t xml:space="preserve">Címzettjei: </w:t>
      </w:r>
    </w:p>
    <w:p>
      <w:pPr>
        <w:pStyle w:val="Normal"/>
        <w:numPr>
          <w:ilvl w:val="0"/>
          <w:numId w:val="2"/>
        </w:numPr>
        <w:spacing w:lineRule="auto" w:line="360" w:before="0" w:after="200"/>
        <w:contextualSpacing/>
        <w:jc w:val="both"/>
        <w:rPr>
          <w:rFonts w:eastAsia="Calibri"/>
          <w:lang w:eastAsia="en-US"/>
        </w:rPr>
      </w:pPr>
      <w:r>
        <w:rPr>
          <w:rFonts w:eastAsia="Calibri"/>
          <w:lang w:eastAsia="en-US"/>
        </w:rPr>
        <w:t>tagszervezetek (65 szervezetnek 1-5 pld)</w:t>
      </w:r>
    </w:p>
    <w:p>
      <w:pPr>
        <w:pStyle w:val="Normal"/>
        <w:numPr>
          <w:ilvl w:val="0"/>
          <w:numId w:val="2"/>
        </w:numPr>
        <w:spacing w:lineRule="auto" w:line="360" w:before="0" w:after="200"/>
        <w:contextualSpacing/>
        <w:jc w:val="both"/>
        <w:rPr>
          <w:rFonts w:eastAsia="Calibri"/>
          <w:lang w:eastAsia="en-US"/>
        </w:rPr>
      </w:pPr>
      <w:r>
        <w:rPr>
          <w:rFonts w:eastAsia="Calibri"/>
          <w:lang w:eastAsia="en-US"/>
        </w:rPr>
        <w:t>szakmapolitika országos és helyi képviselői (60 fő)</w:t>
      </w:r>
    </w:p>
    <w:p>
      <w:pPr>
        <w:pStyle w:val="Normal"/>
        <w:numPr>
          <w:ilvl w:val="0"/>
          <w:numId w:val="2"/>
        </w:numPr>
        <w:spacing w:lineRule="auto" w:line="360" w:before="0" w:after="200"/>
        <w:contextualSpacing/>
        <w:jc w:val="both"/>
        <w:rPr>
          <w:rFonts w:eastAsia="Calibri"/>
          <w:lang w:eastAsia="en-US"/>
        </w:rPr>
      </w:pPr>
      <w:r>
        <w:rPr>
          <w:rFonts w:eastAsia="Calibri"/>
          <w:lang w:eastAsia="en-US"/>
        </w:rPr>
        <w:t>egyéni igénylők (40fő)</w:t>
      </w:r>
    </w:p>
    <w:p>
      <w:pPr>
        <w:pStyle w:val="Normal"/>
        <w:numPr>
          <w:ilvl w:val="0"/>
          <w:numId w:val="2"/>
        </w:numPr>
        <w:spacing w:lineRule="auto" w:line="360" w:before="0" w:after="200"/>
        <w:contextualSpacing/>
        <w:jc w:val="both"/>
        <w:rPr>
          <w:rFonts w:eastAsia="Calibri"/>
          <w:lang w:eastAsia="en-US"/>
        </w:rPr>
      </w:pPr>
      <w:r>
        <w:rPr>
          <w:rFonts w:eastAsia="Calibri"/>
          <w:lang w:eastAsia="en-US"/>
        </w:rPr>
        <w:t xml:space="preserve">közösségi programban résztvevő diákok </w:t>
      </w:r>
    </w:p>
    <w:p>
      <w:pPr>
        <w:pStyle w:val="Normal"/>
        <w:spacing w:lineRule="auto" w:line="360" w:before="0" w:after="200"/>
        <w:ind w:left="1440" w:hanging="0"/>
        <w:contextualSpacing/>
        <w:jc w:val="both"/>
        <w:rPr>
          <w:rFonts w:eastAsia="Calibri"/>
          <w:lang w:eastAsia="en-US"/>
        </w:rPr>
      </w:pPr>
      <w:r>
        <w:rPr>
          <w:rFonts w:eastAsia="Calibri"/>
          <w:lang w:eastAsia="en-US"/>
        </w:rPr>
      </w:r>
    </w:p>
    <w:p>
      <w:pPr>
        <w:pStyle w:val="Normal"/>
        <w:numPr>
          <w:ilvl w:val="0"/>
          <w:numId w:val="1"/>
        </w:numPr>
        <w:spacing w:lineRule="auto" w:line="360" w:before="0" w:after="200"/>
        <w:contextualSpacing/>
        <w:jc w:val="both"/>
        <w:rPr>
          <w:rFonts w:eastAsia="Calibri"/>
          <w:lang w:eastAsia="en-US"/>
        </w:rPr>
      </w:pPr>
      <w:r>
        <w:rPr>
          <w:rFonts w:eastAsia="Calibri"/>
          <w:lang w:eastAsia="en-US"/>
        </w:rPr>
        <w:t>A szövetség folyamatosan működteti</w:t>
      </w:r>
      <w:r>
        <w:rPr>
          <w:rFonts w:eastAsia="Calibri"/>
          <w:b/>
          <w:lang w:eastAsia="en-US"/>
        </w:rPr>
        <w:t xml:space="preserve"> </w:t>
      </w:r>
      <w:hyperlink r:id="rId5">
        <w:r>
          <w:rPr>
            <w:rFonts w:eastAsia="Calibri"/>
            <w:b/>
            <w:color w:val="0000FF"/>
            <w:u w:val="single"/>
            <w:lang w:eastAsia="en-US"/>
          </w:rPr>
          <w:t>www.eta-szov.hu</w:t>
        </w:r>
      </w:hyperlink>
      <w:r>
        <w:rPr>
          <w:rFonts w:eastAsia="Calibri"/>
          <w:lang w:eastAsia="en-US"/>
        </w:rPr>
        <w:t xml:space="preserve"> honlapját szakértő munkatárs közreműködésével A honlap tartalmazza a tagszervezetek társadalmi – ünnepi – kulturális eseményeit, jogi információkat és elemzéseket, szövetségi programokat, a fogyatékosügy országos és megyei eseményeit, a tagszervezetek szakmai tevékenységeit és egyéb tevékenységeit, szolgáltatási kínálatait. Magas intenzitással működtetjük a facebook oldalunkat, az információk még székesebb körű továbbítása érdekében. </w:t>
      </w:r>
      <w:r>
        <w:rPr>
          <w:b/>
          <w:bCs/>
        </w:rPr>
        <w:t xml:space="preserve">A honlap látogatottsága 2022. évben: </w:t>
      </w:r>
      <w:r>
        <w:rPr/>
        <w:t>21E kattintás, 7,907E megjelenítés A működtetés évi költsége a tervezettel azonos.</w:t>
      </w:r>
    </w:p>
    <w:p>
      <w:pPr>
        <w:pStyle w:val="Normal"/>
        <w:spacing w:lineRule="auto" w:line="360" w:before="0" w:after="200"/>
        <w:ind w:left="720" w:hanging="0"/>
        <w:contextualSpacing/>
        <w:jc w:val="both"/>
        <w:rPr>
          <w:rFonts w:eastAsia="Calibri"/>
          <w:lang w:eastAsia="en-US"/>
        </w:rPr>
      </w:pPr>
      <w:r>
        <w:rPr>
          <w:rFonts w:eastAsia="Calibri"/>
          <w:lang w:eastAsia="en-US"/>
        </w:rPr>
      </w:r>
    </w:p>
    <w:p>
      <w:pPr>
        <w:pStyle w:val="Normal"/>
        <w:numPr>
          <w:ilvl w:val="0"/>
          <w:numId w:val="1"/>
        </w:numPr>
        <w:spacing w:lineRule="auto" w:line="360" w:before="0" w:after="200"/>
        <w:contextualSpacing/>
        <w:jc w:val="both"/>
        <w:rPr>
          <w:rFonts w:eastAsia="Calibri"/>
          <w:lang w:eastAsia="en-US"/>
        </w:rPr>
      </w:pPr>
      <w:r>
        <w:rPr>
          <w:rFonts w:eastAsia="Calibri"/>
          <w:lang w:eastAsia="en-US"/>
        </w:rPr>
        <w:t>2022-ban YouTube csatornánkat 3300 tekintették meg, az összes nézési idő 189,6 óra. Segítségével juttattuk el szolgáltatást nyújtó programjaink jelentős részét tagszervezeteinkhez, valamint együttműködő partnereinkhez. Facebook oldalunkat 1133 fő kedveli és 1163 fő követi.</w:t>
      </w:r>
    </w:p>
    <w:p>
      <w:pPr>
        <w:pStyle w:val="Normal"/>
        <w:spacing w:lineRule="auto" w:line="360" w:before="0" w:after="200"/>
        <w:contextualSpacing/>
        <w:jc w:val="both"/>
        <w:rPr>
          <w:rFonts w:eastAsia="Calibri"/>
          <w:lang w:eastAsia="en-US"/>
        </w:rPr>
      </w:pPr>
      <w:r>
        <w:rPr>
          <w:rFonts w:eastAsia="Calibri"/>
          <w:lang w:eastAsia="en-US"/>
        </w:rPr>
      </w:r>
    </w:p>
    <w:p>
      <w:pPr>
        <w:pStyle w:val="Normal"/>
        <w:numPr>
          <w:ilvl w:val="0"/>
          <w:numId w:val="1"/>
        </w:numPr>
        <w:spacing w:lineRule="auto" w:line="360" w:before="0" w:after="200"/>
        <w:contextualSpacing/>
        <w:jc w:val="both"/>
        <w:rPr/>
      </w:pPr>
      <w:r>
        <w:rPr/>
        <w:t xml:space="preserve">2022-ben is több alkalommal képviselte magát a Szövetség a nemzetközi </w:t>
      </w:r>
      <w:r>
        <w:rPr>
          <w:b/>
        </w:rPr>
        <w:t xml:space="preserve">EASPD </w:t>
      </w:r>
      <w:r>
        <w:rPr/>
        <w:t>Érdekvédelmi Szervezet konferenciáin, online felületen és személyesen Máltán. Mindezek mellett az EASPD munkatársai több alkalommal vettek részt szövetségünk rendezvényein. Konzorciumi partnerként részt veszünk az Erasmus+ pályázati programban</w:t>
      </w:r>
    </w:p>
    <w:p>
      <w:pPr>
        <w:pStyle w:val="ListParagraph"/>
        <w:rPr/>
      </w:pPr>
      <w:r>
        <w:rPr/>
      </w:r>
    </w:p>
    <w:p>
      <w:pPr>
        <w:pStyle w:val="Normal"/>
        <w:numPr>
          <w:ilvl w:val="0"/>
          <w:numId w:val="1"/>
        </w:numPr>
        <w:spacing w:lineRule="auto" w:line="360" w:before="0" w:after="200"/>
        <w:contextualSpacing/>
        <w:jc w:val="both"/>
        <w:rPr/>
      </w:pPr>
      <w:r>
        <w:rPr/>
        <w:t xml:space="preserve">A 2022 évi energia árak drasztikus növekedésére reagálva szövetségünk együttműködő partnerszervezeteivel közösen érdekvédelmi feladatokat látott el mind a szolgáltatást nyújtó szervezetek, mind az érintett családok képviseletében. </w:t>
      </w:r>
    </w:p>
    <w:p>
      <w:pPr>
        <w:pStyle w:val="Normal"/>
        <w:spacing w:lineRule="auto" w:line="360" w:before="0" w:after="200"/>
        <w:ind w:left="720" w:hanging="0"/>
        <w:contextualSpacing/>
        <w:jc w:val="both"/>
        <w:rPr/>
      </w:pPr>
      <w:r>
        <w:rPr/>
      </w:r>
    </w:p>
    <w:p>
      <w:pPr>
        <w:pStyle w:val="Normal"/>
        <w:numPr>
          <w:ilvl w:val="0"/>
          <w:numId w:val="1"/>
        </w:numPr>
        <w:spacing w:lineRule="auto" w:line="360" w:before="0" w:after="200"/>
        <w:contextualSpacing/>
        <w:jc w:val="both"/>
        <w:rPr/>
      </w:pPr>
      <w:r>
        <w:rPr/>
        <w:t>Tárgyévben részt vettünk az OFT (Országos Fogyatékosügyi Tanács) tagjakén érdekképviseleti feladatokat láttunk el.</w:t>
      </w:r>
    </w:p>
    <w:p>
      <w:pPr>
        <w:pStyle w:val="Normal"/>
        <w:spacing w:before="0" w:after="0"/>
        <w:ind w:left="720" w:hanging="0"/>
        <w:contextualSpacing/>
        <w:jc w:val="both"/>
        <w:rPr/>
      </w:pPr>
      <w:r>
        <w:rPr/>
      </w:r>
    </w:p>
    <w:p>
      <w:pPr>
        <w:pStyle w:val="Normal"/>
        <w:numPr>
          <w:ilvl w:val="0"/>
          <w:numId w:val="1"/>
        </w:numPr>
        <w:spacing w:lineRule="auto" w:line="360" w:before="0" w:after="200"/>
        <w:contextualSpacing/>
        <w:jc w:val="both"/>
        <w:rPr>
          <w:rFonts w:eastAsia="Calibri"/>
          <w:lang w:eastAsia="en-US"/>
        </w:rPr>
      </w:pPr>
      <w:r>
        <w:rPr>
          <w:rFonts w:eastAsia="Calibri"/>
          <w:lang w:eastAsia="en-US"/>
        </w:rPr>
        <w:t xml:space="preserve">Tárgyévben </w:t>
      </w:r>
      <w:r>
        <w:rPr>
          <w:rFonts w:eastAsia="Calibri"/>
          <w:b/>
          <w:lang w:eastAsia="en-US"/>
        </w:rPr>
        <w:t>305</w:t>
      </w:r>
      <w:r>
        <w:rPr>
          <w:rFonts w:eastAsia="Calibri"/>
          <w:lang w:eastAsia="en-US"/>
        </w:rPr>
        <w:t xml:space="preserve"> ezer forint </w:t>
      </w:r>
      <w:r>
        <w:rPr>
          <w:rFonts w:eastAsia="Calibri"/>
          <w:b/>
          <w:lang w:eastAsia="en-US"/>
        </w:rPr>
        <w:t>adomány</w:t>
      </w:r>
      <w:r>
        <w:rPr>
          <w:rFonts w:eastAsia="Calibri"/>
          <w:lang w:eastAsia="en-US"/>
        </w:rPr>
        <w:t xml:space="preserve">t használt fel a szövetség, melyet szakmai programok támogatására – köztük a Diákönkéntes és Közösségi Szolgálat programban résztvevő diákok pályamunkáinak elismerésére adományozott ajándékutalványok - és a szervezet működésének finanszírozására fordítottunk. </w:t>
      </w:r>
    </w:p>
    <w:p>
      <w:pPr>
        <w:pStyle w:val="Normal"/>
        <w:numPr>
          <w:ilvl w:val="0"/>
          <w:numId w:val="1"/>
        </w:numPr>
        <w:spacing w:lineRule="auto" w:line="360" w:before="0" w:after="200"/>
        <w:contextualSpacing/>
        <w:jc w:val="both"/>
        <w:rPr/>
      </w:pPr>
      <w:r>
        <w:rPr>
          <w:rFonts w:eastAsia="Calibri"/>
          <w:b/>
          <w:lang w:eastAsia="en-US"/>
        </w:rPr>
        <w:t>Tematikus napok</w:t>
      </w:r>
      <w:r>
        <w:rPr>
          <w:rFonts w:eastAsia="Calibri"/>
          <w:lang w:eastAsia="en-US"/>
        </w:rPr>
        <w:t xml:space="preserve">: immár hagyománynak számító, tagszervezeteink többségét érdeklő, érintő téma köré </w:t>
      </w:r>
      <w:r>
        <w:rPr>
          <w:rFonts w:eastAsia="Calibri"/>
        </w:rPr>
        <w:t>szervezett találkozó(k).</w:t>
      </w:r>
      <w:r>
        <w:rPr>
          <w:rFonts w:eastAsia="Calibri"/>
          <w:lang w:eastAsia="en-US"/>
        </w:rPr>
        <w:t xml:space="preserve"> Ez évi témáink:</w:t>
      </w:r>
    </w:p>
    <w:p>
      <w:pPr>
        <w:pStyle w:val="Normal"/>
        <w:numPr>
          <w:ilvl w:val="0"/>
          <w:numId w:val="3"/>
        </w:numPr>
        <w:spacing w:lineRule="auto" w:line="360" w:before="0" w:after="200"/>
        <w:contextualSpacing/>
        <w:jc w:val="both"/>
        <w:rPr/>
      </w:pPr>
      <w:r>
        <w:rPr/>
        <w:t>HSOÉSZ-ÉTA közös szakmai nap, „Hogyan? Tovább!” fogyatékos fiatalok nagykorúvá válása.</w:t>
      </w:r>
    </w:p>
    <w:p>
      <w:pPr>
        <w:pStyle w:val="Normal"/>
        <w:numPr>
          <w:ilvl w:val="0"/>
          <w:numId w:val="3"/>
        </w:numPr>
        <w:spacing w:lineRule="auto" w:line="360" w:before="0" w:after="200"/>
        <w:contextualSpacing/>
        <w:jc w:val="both"/>
        <w:rPr/>
      </w:pPr>
      <w:r>
        <w:rPr/>
        <w:t>HSOÉSZ-ÉTA közös szakmai nap fogyatékossággal élő emberek mindennapi életének aktuális kérdéseiről</w:t>
      </w:r>
    </w:p>
    <w:p>
      <w:pPr>
        <w:pStyle w:val="Normal"/>
        <w:spacing w:lineRule="auto" w:line="360" w:before="0" w:after="200"/>
        <w:ind w:left="720" w:hanging="0"/>
        <w:contextualSpacing/>
        <w:jc w:val="both"/>
        <w:rPr>
          <w:b/>
          <w:b/>
        </w:rPr>
      </w:pPr>
      <w:r>
        <w:rPr>
          <w:b/>
        </w:rPr>
      </w:r>
    </w:p>
    <w:p>
      <w:pPr>
        <w:pStyle w:val="Normal"/>
        <w:numPr>
          <w:ilvl w:val="0"/>
          <w:numId w:val="1"/>
        </w:numPr>
        <w:spacing w:lineRule="auto" w:line="360" w:before="0" w:after="200"/>
        <w:contextualSpacing/>
        <w:jc w:val="both"/>
        <w:rPr>
          <w:b/>
          <w:b/>
        </w:rPr>
      </w:pPr>
      <w:r>
        <w:rPr/>
        <w:t xml:space="preserve">A </w:t>
      </w:r>
      <w:r>
        <w:rPr>
          <w:b/>
        </w:rPr>
        <w:t>felajánlott 1% szja</w:t>
      </w:r>
      <w:r>
        <w:rPr/>
        <w:t xml:space="preserve"> 2022. évi felhasználása a költségvetésből nem támogatott szakmai programok és a szövetség működési költségeinek fedezetére fordítottuk, melynek összege: </w:t>
      </w:r>
      <w:r>
        <w:rPr>
          <w:b/>
        </w:rPr>
        <w:t>117.329</w:t>
      </w:r>
      <w:r>
        <w:rPr/>
        <w:t xml:space="preserve"> forint.</w:t>
      </w:r>
    </w:p>
    <w:p>
      <w:pPr>
        <w:pStyle w:val="Normal"/>
        <w:spacing w:lineRule="auto" w:line="360" w:before="0" w:after="200"/>
        <w:ind w:left="502" w:hanging="0"/>
        <w:contextualSpacing/>
        <w:jc w:val="both"/>
        <w:rPr>
          <w:b/>
          <w:b/>
        </w:rPr>
      </w:pPr>
      <w:r>
        <w:rPr>
          <w:b/>
        </w:rPr>
      </w:r>
    </w:p>
    <w:p>
      <w:pPr>
        <w:pStyle w:val="Normal"/>
        <w:numPr>
          <w:ilvl w:val="0"/>
          <w:numId w:val="1"/>
        </w:numPr>
        <w:spacing w:lineRule="auto" w:line="360" w:before="0" w:after="200"/>
        <w:contextualSpacing/>
        <w:jc w:val="both"/>
        <w:rPr>
          <w:b/>
          <w:b/>
        </w:rPr>
      </w:pPr>
      <w:r>
        <w:rPr/>
        <w:t xml:space="preserve"> </w:t>
      </w:r>
      <w:r>
        <w:rPr/>
        <w:t>2022. év elején, az ukrajnai háború elől menekülőknek közel 100.000 ft értékben gyógyszert biztosítottunk, ill. Ukrán állampolgárok – fogyatékossággal élők és hozzátartozók – befogadását biztosító tagszervezeteinket financiálisan támogattuk.</w:t>
      </w:r>
    </w:p>
    <w:p>
      <w:pPr>
        <w:pStyle w:val="Normal"/>
        <w:spacing w:lineRule="auto" w:line="360" w:before="0" w:after="200"/>
        <w:contextualSpacing/>
        <w:jc w:val="both"/>
        <w:rPr/>
      </w:pPr>
      <w:r>
        <w:rPr/>
      </w:r>
    </w:p>
    <w:p>
      <w:pPr>
        <w:pStyle w:val="Normal"/>
        <w:spacing w:lineRule="auto" w:line="360" w:before="0" w:after="200"/>
        <w:contextualSpacing/>
        <w:jc w:val="both"/>
        <w:rPr/>
      </w:pPr>
      <w:r>
        <w:rPr/>
        <w:t>2023. március 6.</w:t>
      </w:r>
    </w:p>
    <w:p>
      <w:pPr>
        <w:pStyle w:val="Normal"/>
        <w:spacing w:lineRule="auto" w:line="360" w:before="0" w:after="200"/>
        <w:contextualSpacing/>
        <w:jc w:val="both"/>
        <w:rPr/>
      </w:pPr>
      <w:r>
        <w:rPr/>
      </w:r>
      <w:bookmarkStart w:id="0" w:name="_GoBack"/>
      <w:bookmarkStart w:id="1" w:name="_GoBack"/>
      <w:bookmarkEnd w:id="1"/>
    </w:p>
    <w:p>
      <w:pPr>
        <w:pStyle w:val="Normal"/>
        <w:spacing w:lineRule="auto" w:line="360"/>
        <w:jc w:val="both"/>
        <w:rPr/>
      </w:pPr>
      <w:r>
        <w:rPr/>
        <w:t>Papp Ágnes</w:t>
      </w:r>
    </w:p>
    <w:p>
      <w:pPr>
        <w:pStyle w:val="Normal"/>
        <w:spacing w:lineRule="auto" w:line="360"/>
        <w:jc w:val="both"/>
        <w:rPr/>
      </w:pPr>
      <w:r>
        <w:rPr/>
        <w:t>elnök sk.</w:t>
      </w:r>
    </w:p>
    <w:p>
      <w:pPr>
        <w:pStyle w:val="Normal"/>
        <w:spacing w:lineRule="auto" w:line="360"/>
        <w:jc w:val="both"/>
        <w:rPr/>
      </w:pPr>
      <w:r>
        <w:rPr/>
      </w:r>
    </w:p>
    <w:p>
      <w:pPr>
        <w:pStyle w:val="Normal"/>
        <w:rPr>
          <w:rFonts w:ascii="Calibri" w:hAnsi="Calibri" w:eastAsia="Calibri" w:cs="" w:asciiTheme="minorHAnsi" w:cstheme="minorBidi" w:eastAsiaTheme="minorHAnsi" w:hAnsiTheme="minorHAnsi"/>
          <w:sz w:val="22"/>
          <w:szCs w:val="22"/>
          <w:lang w:eastAsia="en-US"/>
        </w:rPr>
      </w:pPr>
      <w:r>
        <w:rPr/>
      </w:r>
    </w:p>
    <w:sectPr>
      <w:footerReference w:type="default" r:id="rId6"/>
      <w:type w:val="nextPage"/>
      <w:pgSz w:w="11906" w:h="16838"/>
      <w:pgMar w:left="1417" w:right="1700" w:gutter="0" w:header="0" w:top="567" w:footer="0" w:bottom="113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roman"/>
    <w:pitch w:val="variable"/>
  </w:font>
  <w:font w:name="Calibri Light">
    <w:charset w:val="ee"/>
    <w:family w:val="roman"/>
    <w:pitch w:val="variable"/>
  </w:font>
  <w:font w:name="Segoe UI">
    <w:charset w:val="ee"/>
    <w:family w:val="roman"/>
    <w:pitch w:val="variable"/>
  </w:font>
  <w:font w:name="Liberation Sans">
    <w:altName w:val="Arial"/>
    <w:charset w:val="ee"/>
    <w:family w:val="swiss"/>
    <w:pitch w:val="variable"/>
  </w:font>
  <w:font w:name="Monotype Corsiva">
    <w:charset w:val="ee"/>
    <w:family w:val="roman"/>
    <w:pitch w:val="variable"/>
  </w:font>
  <w:font w:name="Comic Sans MS">
    <w:charset w:val="ee"/>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661804435"/>
    </w:sdtPr>
    <w:sdtContent>
      <w:p>
        <w:pPr>
          <w:pStyle w:val="Llb"/>
          <w:jc w:val="center"/>
          <w:rPr/>
        </w:pPr>
        <w:r>
          <w:rPr/>
          <w:fldChar w:fldCharType="begin"/>
        </w:r>
        <w:r>
          <w:rPr/>
          <w:instrText xml:space="preserve"> PAGE </w:instrText>
        </w:r>
        <w:r>
          <w:rPr/>
          <w:fldChar w:fldCharType="separate"/>
        </w:r>
        <w:r>
          <w:rPr/>
          <w:t>6</w:t>
        </w:r>
        <w:r>
          <w:rPr/>
          <w:fldChar w:fldCharType="end"/>
        </w:r>
      </w:p>
    </w:sdtContent>
  </w:sdt>
  <w:p>
    <w:pPr>
      <w:pStyle w:val="Normal"/>
      <w:keepNext w:val="true"/>
      <w:numPr>
        <w:ilvl w:val="0"/>
        <w:numId w:val="0"/>
      </w:numPr>
      <w:ind w:right="708" w:hanging="0"/>
      <w:jc w:val="center"/>
      <w:outlineLvl w:val="0"/>
      <w:rPr>
        <w:b/>
        <w:b/>
        <w:sz w:val="16"/>
        <w:szCs w:val="16"/>
      </w:rPr>
    </w:pPr>
    <w:r>
      <w:rPr>
        <w:b/>
        <w:sz w:val="16"/>
        <w:szCs w:val="16"/>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60" w:hanging="360"/>
      </w:pPr>
      <w:rPr>
        <w:b w:val="fals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hyphenationZone w:val="425"/>
  <w:themeFontLang w:val="hu-H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lang w:val="hu-H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c16290"/>
    <w:pPr>
      <w:widowControl/>
      <w:bidi w:val="0"/>
      <w:spacing w:lineRule="auto" w:line="240" w:before="0" w:after="0"/>
      <w:jc w:val="left"/>
    </w:pPr>
    <w:rPr>
      <w:rFonts w:ascii="Times New Roman" w:hAnsi="Times New Roman" w:eastAsia="Times New Roman" w:cs="Times New Roman"/>
      <w:color w:val="auto"/>
      <w:kern w:val="0"/>
      <w:sz w:val="24"/>
      <w:szCs w:val="24"/>
      <w:lang w:eastAsia="hu-HU" w:val="hu-HU" w:bidi="ar-SA"/>
    </w:rPr>
  </w:style>
  <w:style w:type="paragraph" w:styleId="Cmsor1">
    <w:name w:val="Heading 1"/>
    <w:basedOn w:val="Normal"/>
    <w:next w:val="Normal"/>
    <w:link w:val="Cmsor1Char"/>
    <w:uiPriority w:val="9"/>
    <w:qFormat/>
    <w:rsid w:val="00317c84"/>
    <w:pPr>
      <w:keepNext w:val="true"/>
      <w:keepLines/>
      <w:spacing w:before="320" w:after="0"/>
      <w:outlineLvl w:val="0"/>
    </w:pPr>
    <w:rPr>
      <w:rFonts w:ascii="Calibri Light" w:hAnsi="Calibri Light" w:eastAsia="" w:cs="" w:asciiTheme="majorHAnsi" w:cstheme="majorBidi" w:eastAsiaTheme="majorEastAsia" w:hAnsiTheme="majorHAnsi"/>
      <w:color w:val="2F5496" w:themeColor="accent1" w:themeShade="bf"/>
      <w:sz w:val="32"/>
      <w:szCs w:val="32"/>
    </w:rPr>
  </w:style>
  <w:style w:type="paragraph" w:styleId="Cmsor2">
    <w:name w:val="Heading 2"/>
    <w:basedOn w:val="Normal"/>
    <w:next w:val="Normal"/>
    <w:link w:val="Cmsor2Char"/>
    <w:uiPriority w:val="9"/>
    <w:semiHidden/>
    <w:unhideWhenUsed/>
    <w:qFormat/>
    <w:rsid w:val="00317c84"/>
    <w:pPr>
      <w:keepNext w:val="true"/>
      <w:keepLines/>
      <w:spacing w:before="80" w:after="0"/>
      <w:outlineLvl w:val="1"/>
    </w:pPr>
    <w:rPr>
      <w:rFonts w:ascii="Calibri Light" w:hAnsi="Calibri Light" w:eastAsia="" w:cs="" w:asciiTheme="majorHAnsi" w:cstheme="majorBidi" w:eastAsiaTheme="majorEastAsia" w:hAnsiTheme="majorHAnsi"/>
      <w:color w:val="404040" w:themeColor="text1" w:themeTint="bf"/>
      <w:sz w:val="28"/>
      <w:szCs w:val="28"/>
    </w:rPr>
  </w:style>
  <w:style w:type="paragraph" w:styleId="Cmsor3">
    <w:name w:val="Heading 3"/>
    <w:basedOn w:val="Normal"/>
    <w:next w:val="Normal"/>
    <w:link w:val="Cmsor3Char"/>
    <w:uiPriority w:val="9"/>
    <w:semiHidden/>
    <w:unhideWhenUsed/>
    <w:qFormat/>
    <w:rsid w:val="00317c84"/>
    <w:pPr>
      <w:keepNext w:val="true"/>
      <w:keepLines/>
      <w:spacing w:before="40" w:after="0"/>
      <w:outlineLvl w:val="2"/>
    </w:pPr>
    <w:rPr>
      <w:rFonts w:ascii="Calibri Light" w:hAnsi="Calibri Light" w:eastAsia="" w:cs="" w:asciiTheme="majorHAnsi" w:cstheme="majorBidi" w:eastAsiaTheme="majorEastAsia" w:hAnsiTheme="majorHAnsi"/>
      <w:color w:val="44546A" w:themeColor="text2"/>
    </w:rPr>
  </w:style>
  <w:style w:type="paragraph" w:styleId="Cmsor4">
    <w:name w:val="Heading 4"/>
    <w:basedOn w:val="Normal"/>
    <w:next w:val="Normal"/>
    <w:link w:val="Cmsor4Char"/>
    <w:uiPriority w:val="9"/>
    <w:semiHidden/>
    <w:unhideWhenUsed/>
    <w:qFormat/>
    <w:rsid w:val="00317c84"/>
    <w:pPr>
      <w:keepNext w:val="true"/>
      <w:keepLines/>
      <w:spacing w:before="40" w:after="0"/>
      <w:outlineLvl w:val="3"/>
    </w:pPr>
    <w:rPr>
      <w:rFonts w:ascii="Calibri Light" w:hAnsi="Calibri Light" w:eastAsia="" w:cs="" w:asciiTheme="majorHAnsi" w:cstheme="majorBidi" w:eastAsiaTheme="majorEastAsia" w:hAnsiTheme="majorHAnsi"/>
      <w:sz w:val="22"/>
      <w:szCs w:val="22"/>
    </w:rPr>
  </w:style>
  <w:style w:type="paragraph" w:styleId="Cmsor5">
    <w:name w:val="Heading 5"/>
    <w:basedOn w:val="Normal"/>
    <w:next w:val="Normal"/>
    <w:link w:val="Cmsor5Char"/>
    <w:uiPriority w:val="9"/>
    <w:semiHidden/>
    <w:unhideWhenUsed/>
    <w:qFormat/>
    <w:rsid w:val="00317c84"/>
    <w:pPr>
      <w:keepNext w:val="true"/>
      <w:keepLines/>
      <w:spacing w:before="40" w:after="0"/>
      <w:outlineLvl w:val="4"/>
    </w:pPr>
    <w:rPr>
      <w:rFonts w:ascii="Calibri Light" w:hAnsi="Calibri Light" w:eastAsia="" w:cs="" w:asciiTheme="majorHAnsi" w:cstheme="majorBidi" w:eastAsiaTheme="majorEastAsia" w:hAnsiTheme="majorHAnsi"/>
      <w:color w:val="44546A" w:themeColor="text2"/>
      <w:sz w:val="22"/>
      <w:szCs w:val="22"/>
    </w:rPr>
  </w:style>
  <w:style w:type="paragraph" w:styleId="Cmsor6">
    <w:name w:val="Heading 6"/>
    <w:basedOn w:val="Normal"/>
    <w:next w:val="Normal"/>
    <w:link w:val="Cmsor6Char"/>
    <w:uiPriority w:val="9"/>
    <w:semiHidden/>
    <w:unhideWhenUsed/>
    <w:qFormat/>
    <w:rsid w:val="00317c84"/>
    <w:pPr>
      <w:keepNext w:val="true"/>
      <w:keepLines/>
      <w:spacing w:before="40" w:after="0"/>
      <w:outlineLvl w:val="5"/>
    </w:pPr>
    <w:rPr>
      <w:rFonts w:ascii="Calibri Light" w:hAnsi="Calibri Light" w:eastAsia="" w:cs="" w:asciiTheme="majorHAnsi" w:cstheme="majorBidi" w:eastAsiaTheme="majorEastAsia" w:hAnsiTheme="majorHAnsi"/>
      <w:i/>
      <w:iCs/>
      <w:color w:val="44546A" w:themeColor="text2"/>
      <w:sz w:val="21"/>
      <w:szCs w:val="21"/>
    </w:rPr>
  </w:style>
  <w:style w:type="paragraph" w:styleId="Cmsor7">
    <w:name w:val="Heading 7"/>
    <w:basedOn w:val="Normal"/>
    <w:next w:val="Normal"/>
    <w:link w:val="Cmsor7Char"/>
    <w:uiPriority w:val="9"/>
    <w:semiHidden/>
    <w:unhideWhenUsed/>
    <w:qFormat/>
    <w:rsid w:val="00317c84"/>
    <w:pPr>
      <w:keepNext w:val="true"/>
      <w:keepLines/>
      <w:spacing w:before="40" w:after="0"/>
      <w:outlineLvl w:val="6"/>
    </w:pPr>
    <w:rPr>
      <w:rFonts w:ascii="Calibri Light" w:hAnsi="Calibri Light" w:eastAsia="" w:cs="" w:asciiTheme="majorHAnsi" w:cstheme="majorBidi" w:eastAsiaTheme="majorEastAsia" w:hAnsiTheme="majorHAnsi"/>
      <w:i/>
      <w:iCs/>
      <w:color w:val="1F3864" w:themeColor="accent1" w:themeShade="80"/>
      <w:sz w:val="21"/>
      <w:szCs w:val="21"/>
    </w:rPr>
  </w:style>
  <w:style w:type="paragraph" w:styleId="Cmsor8">
    <w:name w:val="Heading 8"/>
    <w:basedOn w:val="Normal"/>
    <w:next w:val="Normal"/>
    <w:link w:val="Cmsor8Char"/>
    <w:uiPriority w:val="9"/>
    <w:semiHidden/>
    <w:unhideWhenUsed/>
    <w:qFormat/>
    <w:rsid w:val="00317c84"/>
    <w:pPr>
      <w:keepNext w:val="true"/>
      <w:keepLines/>
      <w:spacing w:before="40" w:after="0"/>
      <w:outlineLvl w:val="7"/>
    </w:pPr>
    <w:rPr>
      <w:rFonts w:ascii="Calibri Light" w:hAnsi="Calibri Light" w:eastAsia="" w:cs="" w:asciiTheme="majorHAnsi" w:cstheme="majorBidi" w:eastAsiaTheme="majorEastAsia" w:hAnsiTheme="majorHAnsi"/>
      <w:b/>
      <w:bCs/>
      <w:color w:val="44546A" w:themeColor="text2"/>
    </w:rPr>
  </w:style>
  <w:style w:type="paragraph" w:styleId="Cmsor9">
    <w:name w:val="Heading 9"/>
    <w:basedOn w:val="Normal"/>
    <w:next w:val="Normal"/>
    <w:link w:val="Cmsor9Char"/>
    <w:uiPriority w:val="9"/>
    <w:semiHidden/>
    <w:unhideWhenUsed/>
    <w:qFormat/>
    <w:rsid w:val="00317c84"/>
    <w:pPr>
      <w:keepNext w:val="true"/>
      <w:keepLines/>
      <w:spacing w:before="40" w:after="0"/>
      <w:outlineLvl w:val="8"/>
    </w:pPr>
    <w:rPr>
      <w:rFonts w:ascii="Calibri Light" w:hAnsi="Calibri Light" w:eastAsia="" w:cs="" w:asciiTheme="majorHAnsi" w:cstheme="majorBidi" w:eastAsiaTheme="majorEastAsia" w:hAnsiTheme="majorHAnsi"/>
      <w:b/>
      <w:bCs/>
      <w:i/>
      <w:iCs/>
      <w:color w:val="44546A" w:themeColor="text2"/>
    </w:rPr>
  </w:style>
  <w:style w:type="character" w:styleId="DefaultParagraphFont" w:default="1">
    <w:name w:val="Default Paragraph Font"/>
    <w:uiPriority w:val="1"/>
    <w:semiHidden/>
    <w:unhideWhenUsed/>
    <w:qFormat/>
    <w:rPr/>
  </w:style>
  <w:style w:type="character" w:styleId="Cmsor1Char" w:customStyle="1">
    <w:name w:val="Címsor 1 Char"/>
    <w:basedOn w:val="DefaultParagraphFont"/>
    <w:uiPriority w:val="9"/>
    <w:qFormat/>
    <w:rsid w:val="00317c84"/>
    <w:rPr>
      <w:rFonts w:ascii="Calibri Light" w:hAnsi="Calibri Light" w:eastAsia="" w:cs="" w:asciiTheme="majorHAnsi" w:cstheme="majorBidi" w:eastAsiaTheme="majorEastAsia" w:hAnsiTheme="majorHAnsi"/>
      <w:color w:val="2F5496" w:themeColor="accent1" w:themeShade="bf"/>
      <w:sz w:val="32"/>
      <w:szCs w:val="32"/>
    </w:rPr>
  </w:style>
  <w:style w:type="character" w:styleId="Cmsor2Char" w:customStyle="1">
    <w:name w:val="Címsor 2 Char"/>
    <w:basedOn w:val="DefaultParagraphFont"/>
    <w:uiPriority w:val="9"/>
    <w:semiHidden/>
    <w:qFormat/>
    <w:rsid w:val="00317c84"/>
    <w:rPr>
      <w:rFonts w:ascii="Calibri Light" w:hAnsi="Calibri Light" w:eastAsia="" w:cs="" w:asciiTheme="majorHAnsi" w:cstheme="majorBidi" w:eastAsiaTheme="majorEastAsia" w:hAnsiTheme="majorHAnsi"/>
      <w:color w:val="404040" w:themeColor="text1" w:themeTint="bf"/>
      <w:sz w:val="28"/>
      <w:szCs w:val="28"/>
    </w:rPr>
  </w:style>
  <w:style w:type="character" w:styleId="Cmsor3Char" w:customStyle="1">
    <w:name w:val="Címsor 3 Char"/>
    <w:basedOn w:val="DefaultParagraphFont"/>
    <w:uiPriority w:val="9"/>
    <w:semiHidden/>
    <w:qFormat/>
    <w:rsid w:val="00317c84"/>
    <w:rPr>
      <w:rFonts w:ascii="Calibri Light" w:hAnsi="Calibri Light" w:eastAsia="" w:cs="" w:asciiTheme="majorHAnsi" w:cstheme="majorBidi" w:eastAsiaTheme="majorEastAsia" w:hAnsiTheme="majorHAnsi"/>
      <w:color w:val="44546A" w:themeColor="text2"/>
      <w:sz w:val="24"/>
      <w:szCs w:val="24"/>
    </w:rPr>
  </w:style>
  <w:style w:type="character" w:styleId="Cmsor4Char" w:customStyle="1">
    <w:name w:val="Címsor 4 Char"/>
    <w:basedOn w:val="DefaultParagraphFont"/>
    <w:uiPriority w:val="9"/>
    <w:semiHidden/>
    <w:qFormat/>
    <w:rsid w:val="00317c84"/>
    <w:rPr>
      <w:rFonts w:ascii="Calibri Light" w:hAnsi="Calibri Light" w:eastAsia="" w:cs="" w:asciiTheme="majorHAnsi" w:cstheme="majorBidi" w:eastAsiaTheme="majorEastAsia" w:hAnsiTheme="majorHAnsi"/>
      <w:sz w:val="22"/>
      <w:szCs w:val="22"/>
    </w:rPr>
  </w:style>
  <w:style w:type="character" w:styleId="Cmsor5Char" w:customStyle="1">
    <w:name w:val="Címsor 5 Char"/>
    <w:basedOn w:val="DefaultParagraphFont"/>
    <w:uiPriority w:val="9"/>
    <w:semiHidden/>
    <w:qFormat/>
    <w:rsid w:val="00317c84"/>
    <w:rPr>
      <w:rFonts w:ascii="Calibri Light" w:hAnsi="Calibri Light" w:eastAsia="" w:cs="" w:asciiTheme="majorHAnsi" w:cstheme="majorBidi" w:eastAsiaTheme="majorEastAsia" w:hAnsiTheme="majorHAnsi"/>
      <w:color w:val="44546A" w:themeColor="text2"/>
      <w:sz w:val="22"/>
      <w:szCs w:val="22"/>
    </w:rPr>
  </w:style>
  <w:style w:type="character" w:styleId="Cmsor6Char" w:customStyle="1">
    <w:name w:val="Címsor 6 Char"/>
    <w:basedOn w:val="DefaultParagraphFont"/>
    <w:uiPriority w:val="9"/>
    <w:semiHidden/>
    <w:qFormat/>
    <w:rsid w:val="00317c84"/>
    <w:rPr>
      <w:rFonts w:ascii="Calibri Light" w:hAnsi="Calibri Light" w:eastAsia="" w:cs="" w:asciiTheme="majorHAnsi" w:cstheme="majorBidi" w:eastAsiaTheme="majorEastAsia" w:hAnsiTheme="majorHAnsi"/>
      <w:i/>
      <w:iCs/>
      <w:color w:val="44546A" w:themeColor="text2"/>
      <w:sz w:val="21"/>
      <w:szCs w:val="21"/>
    </w:rPr>
  </w:style>
  <w:style w:type="character" w:styleId="Cmsor7Char" w:customStyle="1">
    <w:name w:val="Címsor 7 Char"/>
    <w:basedOn w:val="DefaultParagraphFont"/>
    <w:uiPriority w:val="9"/>
    <w:semiHidden/>
    <w:qFormat/>
    <w:rsid w:val="00317c84"/>
    <w:rPr>
      <w:rFonts w:ascii="Calibri Light" w:hAnsi="Calibri Light" w:eastAsia="" w:cs="" w:asciiTheme="majorHAnsi" w:cstheme="majorBidi" w:eastAsiaTheme="majorEastAsia" w:hAnsiTheme="majorHAnsi"/>
      <w:i/>
      <w:iCs/>
      <w:color w:val="1F3864" w:themeColor="accent1" w:themeShade="80"/>
      <w:sz w:val="21"/>
      <w:szCs w:val="21"/>
    </w:rPr>
  </w:style>
  <w:style w:type="character" w:styleId="Cmsor8Char" w:customStyle="1">
    <w:name w:val="Címsor 8 Char"/>
    <w:basedOn w:val="DefaultParagraphFont"/>
    <w:uiPriority w:val="9"/>
    <w:semiHidden/>
    <w:qFormat/>
    <w:rsid w:val="00317c84"/>
    <w:rPr>
      <w:rFonts w:ascii="Calibri Light" w:hAnsi="Calibri Light" w:eastAsia="" w:cs="" w:asciiTheme="majorHAnsi" w:cstheme="majorBidi" w:eastAsiaTheme="majorEastAsia" w:hAnsiTheme="majorHAnsi"/>
      <w:b/>
      <w:bCs/>
      <w:color w:val="44546A" w:themeColor="text2"/>
    </w:rPr>
  </w:style>
  <w:style w:type="character" w:styleId="Cmsor9Char" w:customStyle="1">
    <w:name w:val="Címsor 9 Char"/>
    <w:basedOn w:val="DefaultParagraphFont"/>
    <w:uiPriority w:val="9"/>
    <w:semiHidden/>
    <w:qFormat/>
    <w:rsid w:val="00317c84"/>
    <w:rPr>
      <w:rFonts w:ascii="Calibri Light" w:hAnsi="Calibri Light" w:eastAsia="" w:cs="" w:asciiTheme="majorHAnsi" w:cstheme="majorBidi" w:eastAsiaTheme="majorEastAsia" w:hAnsiTheme="majorHAnsi"/>
      <w:b/>
      <w:bCs/>
      <w:i/>
      <w:iCs/>
      <w:color w:val="44546A" w:themeColor="text2"/>
    </w:rPr>
  </w:style>
  <w:style w:type="character" w:styleId="CmChar" w:customStyle="1">
    <w:name w:val="Cím Char"/>
    <w:basedOn w:val="DefaultParagraphFont"/>
    <w:uiPriority w:val="10"/>
    <w:qFormat/>
    <w:rsid w:val="00317c84"/>
    <w:rPr>
      <w:rFonts w:ascii="Calibri Light" w:hAnsi="Calibri Light" w:eastAsia="" w:cs="" w:asciiTheme="majorHAnsi" w:cstheme="majorBidi" w:eastAsiaTheme="majorEastAsia" w:hAnsiTheme="majorHAnsi"/>
      <w:color w:val="4472C4" w:themeColor="accent1"/>
      <w:spacing w:val="-10"/>
      <w:sz w:val="56"/>
      <w:szCs w:val="56"/>
    </w:rPr>
  </w:style>
  <w:style w:type="character" w:styleId="AlcmChar" w:customStyle="1">
    <w:name w:val="Alcím Char"/>
    <w:basedOn w:val="DefaultParagraphFont"/>
    <w:uiPriority w:val="11"/>
    <w:qFormat/>
    <w:rsid w:val="00317c84"/>
    <w:rPr>
      <w:rFonts w:ascii="Calibri Light" w:hAnsi="Calibri Light" w:eastAsia="" w:cs="" w:asciiTheme="majorHAnsi" w:cstheme="majorBidi" w:eastAsiaTheme="majorEastAsia" w:hAnsiTheme="majorHAnsi"/>
      <w:sz w:val="24"/>
      <w:szCs w:val="24"/>
    </w:rPr>
  </w:style>
  <w:style w:type="character" w:styleId="Strong">
    <w:name w:val="Strong"/>
    <w:basedOn w:val="DefaultParagraphFont"/>
    <w:uiPriority w:val="22"/>
    <w:qFormat/>
    <w:rsid w:val="00317c84"/>
    <w:rPr>
      <w:b/>
      <w:bCs/>
    </w:rPr>
  </w:style>
  <w:style w:type="character" w:styleId="Hangslyozs">
    <w:name w:val="Hangsúlyozás"/>
    <w:basedOn w:val="DefaultParagraphFont"/>
    <w:uiPriority w:val="20"/>
    <w:qFormat/>
    <w:rsid w:val="00317c84"/>
    <w:rPr>
      <w:i/>
      <w:iCs/>
    </w:rPr>
  </w:style>
  <w:style w:type="character" w:styleId="IdzetChar" w:customStyle="1">
    <w:name w:val="Idézet Char"/>
    <w:basedOn w:val="DefaultParagraphFont"/>
    <w:link w:val="Quote"/>
    <w:uiPriority w:val="29"/>
    <w:qFormat/>
    <w:rsid w:val="00317c84"/>
    <w:rPr>
      <w:i/>
      <w:iCs/>
      <w:color w:val="404040" w:themeColor="text1" w:themeTint="bf"/>
    </w:rPr>
  </w:style>
  <w:style w:type="character" w:styleId="KiemeltidzetChar" w:customStyle="1">
    <w:name w:val="Kiemelt idézet Char"/>
    <w:basedOn w:val="DefaultParagraphFont"/>
    <w:link w:val="IntenseQuote"/>
    <w:uiPriority w:val="30"/>
    <w:qFormat/>
    <w:rsid w:val="00317c84"/>
    <w:rPr>
      <w:rFonts w:ascii="Calibri Light" w:hAnsi="Calibri Light" w:eastAsia="" w:cs="" w:asciiTheme="majorHAnsi" w:cstheme="majorBidi" w:eastAsiaTheme="majorEastAsia" w:hAnsiTheme="majorHAnsi"/>
      <w:color w:val="4472C4" w:themeColor="accent1"/>
      <w:sz w:val="28"/>
      <w:szCs w:val="28"/>
    </w:rPr>
  </w:style>
  <w:style w:type="character" w:styleId="SubtleEmphasis">
    <w:name w:val="Subtle Emphasis"/>
    <w:basedOn w:val="DefaultParagraphFont"/>
    <w:uiPriority w:val="19"/>
    <w:qFormat/>
    <w:rsid w:val="00317c84"/>
    <w:rPr>
      <w:i/>
      <w:iCs/>
      <w:color w:val="404040" w:themeColor="text1" w:themeTint="bf"/>
    </w:rPr>
  </w:style>
  <w:style w:type="character" w:styleId="IntenseEmphasis">
    <w:name w:val="Intense Emphasis"/>
    <w:basedOn w:val="DefaultParagraphFont"/>
    <w:uiPriority w:val="21"/>
    <w:qFormat/>
    <w:rsid w:val="00317c84"/>
    <w:rPr>
      <w:b/>
      <w:bCs/>
      <w:i/>
      <w:iCs/>
    </w:rPr>
  </w:style>
  <w:style w:type="character" w:styleId="SubtleReference">
    <w:name w:val="Subtle Reference"/>
    <w:basedOn w:val="DefaultParagraphFont"/>
    <w:uiPriority w:val="31"/>
    <w:qFormat/>
    <w:rsid w:val="00317c84"/>
    <w:rPr>
      <w:smallCaps/>
      <w:color w:val="404040" w:themeColor="text1" w:themeTint="bf"/>
      <w:u w:val="single" w:color="7F7F7F"/>
    </w:rPr>
  </w:style>
  <w:style w:type="character" w:styleId="IntenseReference">
    <w:name w:val="Intense Reference"/>
    <w:basedOn w:val="DefaultParagraphFont"/>
    <w:uiPriority w:val="32"/>
    <w:qFormat/>
    <w:rsid w:val="00317c84"/>
    <w:rPr>
      <w:b/>
      <w:bCs/>
      <w:smallCaps/>
      <w:spacing w:val="5"/>
      <w:u w:val="single"/>
    </w:rPr>
  </w:style>
  <w:style w:type="character" w:styleId="BookTitle">
    <w:name w:val="Book Title"/>
    <w:basedOn w:val="DefaultParagraphFont"/>
    <w:uiPriority w:val="33"/>
    <w:qFormat/>
    <w:rsid w:val="00317c84"/>
    <w:rPr>
      <w:b/>
      <w:bCs/>
      <w:smallCaps/>
    </w:rPr>
  </w:style>
  <w:style w:type="character" w:styleId="Internethivatkozs">
    <w:name w:val="Internet-hivatkozás"/>
    <w:rsid w:val="00c16290"/>
    <w:rPr>
      <w:color w:val="0000FF"/>
      <w:u w:val="single"/>
    </w:rPr>
  </w:style>
  <w:style w:type="character" w:styleId="LfejChar" w:customStyle="1">
    <w:name w:val="Élőfej Char"/>
    <w:basedOn w:val="DefaultParagraphFont"/>
    <w:uiPriority w:val="99"/>
    <w:qFormat/>
    <w:rsid w:val="00c16290"/>
    <w:rPr>
      <w:rFonts w:ascii="Times New Roman" w:hAnsi="Times New Roman" w:eastAsia="Times New Roman" w:cs="Times New Roman"/>
      <w:sz w:val="24"/>
      <w:szCs w:val="24"/>
      <w:lang w:eastAsia="hu-HU"/>
    </w:rPr>
  </w:style>
  <w:style w:type="character" w:styleId="LlbChar" w:customStyle="1">
    <w:name w:val="Élőláb Char"/>
    <w:basedOn w:val="DefaultParagraphFont"/>
    <w:uiPriority w:val="99"/>
    <w:qFormat/>
    <w:rsid w:val="00c16290"/>
    <w:rPr>
      <w:rFonts w:ascii="Times New Roman" w:hAnsi="Times New Roman" w:eastAsia="Times New Roman" w:cs="Times New Roman"/>
      <w:sz w:val="24"/>
      <w:szCs w:val="24"/>
      <w:lang w:eastAsia="hu-HU"/>
    </w:rPr>
  </w:style>
  <w:style w:type="character" w:styleId="BuborkszvegChar" w:customStyle="1">
    <w:name w:val="Buborékszöveg Char"/>
    <w:basedOn w:val="DefaultParagraphFont"/>
    <w:link w:val="BalloonText"/>
    <w:uiPriority w:val="99"/>
    <w:semiHidden/>
    <w:qFormat/>
    <w:rsid w:val="00b66df1"/>
    <w:rPr>
      <w:rFonts w:ascii="Segoe UI" w:hAnsi="Segoe UI" w:eastAsia="Times New Roman" w:cs="Segoe UI"/>
      <w:sz w:val="18"/>
      <w:szCs w:val="18"/>
      <w:lang w:eastAsia="hu-HU"/>
    </w:rPr>
  </w:style>
  <w:style w:type="character" w:styleId="Feloldatlanmegemlts1" w:customStyle="1">
    <w:name w:val="Feloldatlan megemlítés1"/>
    <w:basedOn w:val="DefaultParagraphFont"/>
    <w:uiPriority w:val="99"/>
    <w:semiHidden/>
    <w:unhideWhenUsed/>
    <w:qFormat/>
    <w:rsid w:val="000f0c0f"/>
    <w:rPr>
      <w:color w:val="605E5C"/>
      <w:shd w:fill="E1DFDD" w:val="clear"/>
    </w:rPr>
  </w:style>
  <w:style w:type="character" w:styleId="UnresolvedMention" w:customStyle="1">
    <w:name w:val="Unresolved Mention"/>
    <w:basedOn w:val="DefaultParagraphFont"/>
    <w:uiPriority w:val="99"/>
    <w:semiHidden/>
    <w:unhideWhenUsed/>
    <w:qFormat/>
    <w:rsid w:val="005d25d3"/>
    <w:rPr>
      <w:color w:val="605E5C"/>
      <w:shd w:fill="E1DFDD" w:val="clear"/>
    </w:rPr>
  </w:style>
  <w:style w:type="paragraph" w:styleId="Cmsor">
    <w:name w:val="Címsor"/>
    <w:basedOn w:val="Normal"/>
    <w:next w:val="Szvegtrzs"/>
    <w:qFormat/>
    <w:pPr>
      <w:keepNext w:val="true"/>
      <w:spacing w:before="240" w:after="120"/>
    </w:pPr>
    <w:rPr>
      <w:rFonts w:ascii="Liberation Sans" w:hAnsi="Liberation Sans" w:eastAsia="Microsoft YaHei" w:cs="Lucida Sans"/>
      <w:sz w:val="28"/>
      <w:szCs w:val="28"/>
    </w:rPr>
  </w:style>
  <w:style w:type="paragraph" w:styleId="Szvegtrzs">
    <w:name w:val="Body Text"/>
    <w:basedOn w:val="Normal"/>
    <w:pPr>
      <w:spacing w:lineRule="auto" w:line="276" w:before="0" w:after="140"/>
    </w:pPr>
    <w:rPr/>
  </w:style>
  <w:style w:type="paragraph" w:styleId="Lista">
    <w:name w:val="List"/>
    <w:basedOn w:val="Szvegtrzs"/>
    <w:pPr/>
    <w:rPr>
      <w:rFonts w:cs="Lucida Sans"/>
    </w:rPr>
  </w:style>
  <w:style w:type="paragraph" w:styleId="Felirat">
    <w:name w:val="Caption"/>
    <w:basedOn w:val="Normal"/>
    <w:qFormat/>
    <w:pPr>
      <w:suppressLineNumbers/>
      <w:spacing w:before="120" w:after="120"/>
    </w:pPr>
    <w:rPr>
      <w:rFonts w:cs="Lucida Sans"/>
      <w:i/>
      <w:iCs/>
      <w:sz w:val="24"/>
      <w:szCs w:val="24"/>
    </w:rPr>
  </w:style>
  <w:style w:type="paragraph" w:styleId="Trgymutat">
    <w:name w:val="Tárgymutató"/>
    <w:basedOn w:val="Normal"/>
    <w:qFormat/>
    <w:pPr>
      <w:suppressLineNumbers/>
    </w:pPr>
    <w:rPr>
      <w:rFonts w:cs="Lucida Sans"/>
      <w:lang w:val="zxx" w:eastAsia="zxx" w:bidi="zxx"/>
    </w:rPr>
  </w:style>
  <w:style w:type="paragraph" w:styleId="Caption">
    <w:name w:val="caption"/>
    <w:basedOn w:val="Normal"/>
    <w:next w:val="Normal"/>
    <w:uiPriority w:val="35"/>
    <w:semiHidden/>
    <w:unhideWhenUsed/>
    <w:qFormat/>
    <w:rsid w:val="00317c84"/>
    <w:pPr/>
    <w:rPr>
      <w:b/>
      <w:bCs/>
      <w:smallCaps/>
      <w:color w:val="595959" w:themeColor="text1" w:themeTint="a6"/>
      <w:spacing w:val="6"/>
    </w:rPr>
  </w:style>
  <w:style w:type="paragraph" w:styleId="Cm">
    <w:name w:val="Title"/>
    <w:basedOn w:val="Normal"/>
    <w:next w:val="Normal"/>
    <w:link w:val="CmChar"/>
    <w:uiPriority w:val="10"/>
    <w:qFormat/>
    <w:rsid w:val="00317c84"/>
    <w:pPr>
      <w:spacing w:before="0" w:after="0"/>
      <w:contextualSpacing/>
    </w:pPr>
    <w:rPr>
      <w:rFonts w:ascii="Calibri Light" w:hAnsi="Calibri Light" w:eastAsia="" w:cs="" w:asciiTheme="majorHAnsi" w:cstheme="majorBidi" w:eastAsiaTheme="majorEastAsia" w:hAnsiTheme="majorHAnsi"/>
      <w:color w:val="4472C4" w:themeColor="accent1"/>
      <w:spacing w:val="-10"/>
      <w:sz w:val="56"/>
      <w:szCs w:val="56"/>
    </w:rPr>
  </w:style>
  <w:style w:type="paragraph" w:styleId="Alcm">
    <w:name w:val="Subtitle"/>
    <w:basedOn w:val="Normal"/>
    <w:next w:val="Normal"/>
    <w:link w:val="AlcmChar"/>
    <w:uiPriority w:val="11"/>
    <w:qFormat/>
    <w:rsid w:val="00317c84"/>
    <w:pPr/>
    <w:rPr>
      <w:rFonts w:ascii="Calibri Light" w:hAnsi="Calibri Light" w:eastAsia="" w:cs="" w:asciiTheme="majorHAnsi" w:cstheme="majorBidi" w:eastAsiaTheme="majorEastAsia" w:hAnsiTheme="majorHAnsi"/>
    </w:rPr>
  </w:style>
  <w:style w:type="paragraph" w:styleId="NoSpacing">
    <w:name w:val="No Spacing"/>
    <w:uiPriority w:val="1"/>
    <w:qFormat/>
    <w:rsid w:val="00317c84"/>
    <w:pPr>
      <w:widowControl/>
      <w:bidi w:val="0"/>
      <w:spacing w:lineRule="auto" w:line="276" w:before="0" w:after="120"/>
      <w:jc w:val="left"/>
    </w:pPr>
    <w:rPr>
      <w:rFonts w:ascii="Calibri" w:hAnsi="Calibri" w:eastAsia="Calibri" w:cs="" w:asciiTheme="minorHAnsi" w:cstheme="minorBidi" w:eastAsiaTheme="minorHAnsi" w:hAnsiTheme="minorHAnsi"/>
      <w:color w:val="auto"/>
      <w:kern w:val="0"/>
      <w:sz w:val="20"/>
      <w:szCs w:val="20"/>
      <w:lang w:val="hu-HU" w:eastAsia="en-US" w:bidi="ar-SA"/>
    </w:rPr>
  </w:style>
  <w:style w:type="paragraph" w:styleId="Quote">
    <w:name w:val="Quote"/>
    <w:basedOn w:val="Normal"/>
    <w:next w:val="Normal"/>
    <w:link w:val="IdzetChar"/>
    <w:uiPriority w:val="29"/>
    <w:qFormat/>
    <w:rsid w:val="00317c84"/>
    <w:pPr>
      <w:spacing w:before="160" w:after="0"/>
      <w:ind w:left="720" w:right="720" w:hanging="0"/>
    </w:pPr>
    <w:rPr>
      <w:i/>
      <w:iCs/>
      <w:color w:val="404040" w:themeColor="text1" w:themeTint="bf"/>
    </w:rPr>
  </w:style>
  <w:style w:type="paragraph" w:styleId="IntenseQuote">
    <w:name w:val="Intense Quote"/>
    <w:basedOn w:val="Normal"/>
    <w:next w:val="Normal"/>
    <w:link w:val="KiemeltidzetChar"/>
    <w:uiPriority w:val="30"/>
    <w:qFormat/>
    <w:rsid w:val="00317c84"/>
    <w:pPr>
      <w:pBdr>
        <w:left w:val="single" w:sz="18" w:space="12" w:color="4472C4"/>
      </w:pBdr>
      <w:spacing w:lineRule="auto" w:line="300" w:beforeAutospacing="1" w:after="0"/>
      <w:ind w:left="1224" w:right="1224" w:hanging="0"/>
    </w:pPr>
    <w:rPr>
      <w:rFonts w:ascii="Calibri Light" w:hAnsi="Calibri Light" w:eastAsia="" w:cs="" w:asciiTheme="majorHAnsi" w:cstheme="majorBidi" w:eastAsiaTheme="majorEastAsia" w:hAnsiTheme="majorHAnsi"/>
      <w:color w:val="4472C4" w:themeColor="accent1"/>
      <w:sz w:val="28"/>
      <w:szCs w:val="28"/>
    </w:rPr>
  </w:style>
  <w:style w:type="paragraph" w:styleId="Trgymutatcmsor">
    <w:name w:val="Index Heading"/>
    <w:basedOn w:val="Cmsor"/>
    <w:pPr/>
    <w:rPr/>
  </w:style>
  <w:style w:type="paragraph" w:styleId="Tartalomjegyzkfejlc">
    <w:name w:val="TOC Heading"/>
    <w:basedOn w:val="Cmsor1"/>
    <w:next w:val="Normal"/>
    <w:uiPriority w:val="39"/>
    <w:semiHidden/>
    <w:unhideWhenUsed/>
    <w:qFormat/>
    <w:rsid w:val="00317c84"/>
    <w:pPr>
      <w:outlineLvl w:val="9"/>
    </w:pPr>
    <w:rPr/>
  </w:style>
  <w:style w:type="paragraph" w:styleId="Lfejsllb">
    <w:name w:val="Élőfej és élőláb"/>
    <w:basedOn w:val="Normal"/>
    <w:qFormat/>
    <w:pPr/>
    <w:rPr/>
  </w:style>
  <w:style w:type="paragraph" w:styleId="Lfej">
    <w:name w:val="Header"/>
    <w:basedOn w:val="Normal"/>
    <w:link w:val="LfejChar"/>
    <w:uiPriority w:val="99"/>
    <w:unhideWhenUsed/>
    <w:rsid w:val="00c16290"/>
    <w:pPr>
      <w:tabs>
        <w:tab w:val="clear" w:pos="708"/>
        <w:tab w:val="center" w:pos="4536" w:leader="none"/>
        <w:tab w:val="right" w:pos="9072" w:leader="none"/>
      </w:tabs>
    </w:pPr>
    <w:rPr/>
  </w:style>
  <w:style w:type="paragraph" w:styleId="Llb">
    <w:name w:val="Footer"/>
    <w:basedOn w:val="Normal"/>
    <w:link w:val="LlbChar"/>
    <w:uiPriority w:val="99"/>
    <w:unhideWhenUsed/>
    <w:rsid w:val="00c16290"/>
    <w:pPr>
      <w:tabs>
        <w:tab w:val="clear" w:pos="708"/>
        <w:tab w:val="center" w:pos="4536" w:leader="none"/>
        <w:tab w:val="right" w:pos="9072" w:leader="none"/>
      </w:tabs>
    </w:pPr>
    <w:rPr/>
  </w:style>
  <w:style w:type="paragraph" w:styleId="BalloonText">
    <w:name w:val="Balloon Text"/>
    <w:basedOn w:val="Normal"/>
    <w:link w:val="BuborkszvegChar"/>
    <w:uiPriority w:val="99"/>
    <w:semiHidden/>
    <w:unhideWhenUsed/>
    <w:qFormat/>
    <w:rsid w:val="00b66df1"/>
    <w:pPr/>
    <w:rPr>
      <w:rFonts w:ascii="Segoe UI" w:hAnsi="Segoe UI" w:cs="Segoe UI"/>
      <w:sz w:val="18"/>
      <w:szCs w:val="18"/>
    </w:rPr>
  </w:style>
  <w:style w:type="paragraph" w:styleId="ListParagraph">
    <w:name w:val="List Paragraph"/>
    <w:basedOn w:val="Normal"/>
    <w:uiPriority w:val="34"/>
    <w:qFormat/>
    <w:rsid w:val="003c55e9"/>
    <w:pPr>
      <w:ind w:left="708" w:hanging="0"/>
    </w:pPr>
    <w:rPr/>
  </w:style>
  <w:style w:type="numbering" w:styleId="NoList" w:default="1">
    <w:name w:val="No List"/>
    <w:uiPriority w:val="99"/>
    <w:semiHidden/>
    <w:unhideWhenUsed/>
    <w:qFormat/>
  </w:style>
  <w:style w:type="table" w:default="1" w:styleId="Normltblzat">
    <w:name w:val="Normal Table"/>
    <w:uiPriority w:val="99"/>
    <w:semiHidden/>
    <w:unhideWhenUsed/>
    <w:tblPr>
      <w:tblCellMar>
        <w:top w:w="0" w:type="dxa"/>
        <w:left w:w="108" w:type="dxa"/>
        <w:bottom w:w="0" w:type="dxa"/>
        <w:right w:w="108" w:type="dxa"/>
      </w:tblCellMar>
    </w:tblPr>
  </w:style>
  <w:style w:type="table" w:styleId="Rcsostblzat">
    <w:name w:val="Table Grid"/>
    <w:basedOn w:val="Normltblzat"/>
    <w:uiPriority w:val="59"/>
    <w:rsid w:val="00a13b53"/>
    <w:pPr>
      <w:spacing w:after="0" w:line="240" w:lineRule="auto"/>
    </w:pPr>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eta-szov.hu/" TargetMode="External"/><Relationship Id="rId4" Type="http://schemas.openxmlformats.org/officeDocument/2006/relationships/hyperlink" Target="https://www.youtube.com/channel/UCBpx7AT07tAXP6xuC3PCVFw" TargetMode="External"/><Relationship Id="rId5" Type="http://schemas.openxmlformats.org/officeDocument/2006/relationships/hyperlink" Target="http://www.eta-szov.hu/" TargetMode="Externa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Application>LibreOffice/7.3.6.2$Windows_X86_64 LibreOffice_project/c28ca90fd6e1a19e189fc16c05f8f8924961e12e</Application>
  <AppVersion>15.0000</AppVersion>
  <Pages>6</Pages>
  <Words>1323</Words>
  <Characters>10012</Characters>
  <CharactersWithSpaces>11329</CharactersWithSpaces>
  <Paragraphs>74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2023-03-07T01:08:00Z</dcterms:created>
  <dc:creator>Karesz</dc:creator>
  <dc:description/>
  <dc:language>hu-HU</dc:language>
  <cp:lastModifiedBy/>
  <cp:lastPrinted>2020-04-17T11:35:00Z</cp:lastPrinted>
  <dcterms:modified xsi:type="dcterms:W3CDTF">2023-04-11T14:41:49Z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